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DA4A8" w14:textId="77777777" w:rsidR="00951AF0" w:rsidRPr="00953210" w:rsidRDefault="00951AF0">
      <w:pPr>
        <w:rPr>
          <w:rFonts w:asciiTheme="majorHAnsi" w:hAnsiTheme="majorHAnsi" w:cstheme="majorHAnsi"/>
          <w:color w:val="000000"/>
          <w:sz w:val="22"/>
          <w:szCs w:val="22"/>
        </w:rPr>
      </w:pPr>
    </w:p>
    <w:p w14:paraId="2F42AA9B" w14:textId="77777777" w:rsidR="00951AF0" w:rsidRPr="00953210" w:rsidRDefault="00951AF0">
      <w:pPr>
        <w:rPr>
          <w:rFonts w:asciiTheme="majorHAnsi" w:hAnsiTheme="majorHAnsi" w:cstheme="majorHAnsi"/>
          <w:color w:val="000000"/>
          <w:sz w:val="22"/>
          <w:szCs w:val="22"/>
        </w:rPr>
      </w:pPr>
    </w:p>
    <w:p w14:paraId="404CE977" w14:textId="61A54AB4" w:rsidR="00E418F2" w:rsidRPr="00953210" w:rsidRDefault="00E418F2" w:rsidP="008300C5">
      <w:pPr>
        <w:rPr>
          <w:rFonts w:asciiTheme="majorHAnsi" w:hAnsiTheme="majorHAnsi" w:cstheme="majorHAnsi"/>
          <w:sz w:val="22"/>
          <w:szCs w:val="22"/>
        </w:rPr>
      </w:pPr>
    </w:p>
    <w:p w14:paraId="6B2E0A54" w14:textId="66ADC49C" w:rsidR="00953210" w:rsidRDefault="001B4639" w:rsidP="00953210">
      <w:pPr>
        <w:rPr>
          <w:rFonts w:asciiTheme="majorHAnsi" w:hAnsiTheme="majorHAnsi" w:cstheme="majorHAnsi"/>
          <w:sz w:val="22"/>
          <w:szCs w:val="22"/>
        </w:rPr>
      </w:pPr>
      <w:r>
        <w:rPr>
          <w:rFonts w:asciiTheme="majorHAnsi" w:hAnsiTheme="majorHAnsi" w:cstheme="majorHAnsi"/>
          <w:sz w:val="22"/>
          <w:szCs w:val="22"/>
        </w:rPr>
        <w:t>November 27</w:t>
      </w:r>
      <w:r w:rsidR="003504B3">
        <w:rPr>
          <w:rFonts w:asciiTheme="majorHAnsi" w:hAnsiTheme="majorHAnsi" w:cstheme="majorHAnsi"/>
          <w:sz w:val="22"/>
          <w:szCs w:val="22"/>
        </w:rPr>
        <w:t>, 2024</w:t>
      </w:r>
    </w:p>
    <w:p w14:paraId="7E728475" w14:textId="77777777" w:rsidR="001B4639" w:rsidRDefault="001B4639" w:rsidP="00953210">
      <w:pPr>
        <w:rPr>
          <w:rFonts w:asciiTheme="majorHAnsi" w:hAnsiTheme="majorHAnsi" w:cstheme="majorHAnsi"/>
          <w:sz w:val="22"/>
          <w:szCs w:val="22"/>
        </w:rPr>
      </w:pPr>
    </w:p>
    <w:p w14:paraId="4AD31443" w14:textId="3AAC16DD" w:rsidR="001B4639" w:rsidRPr="001B4639" w:rsidRDefault="001B4639" w:rsidP="00953210">
      <w:pPr>
        <w:rPr>
          <w:rFonts w:asciiTheme="majorHAnsi" w:hAnsiTheme="majorHAnsi" w:cstheme="majorHAnsi"/>
          <w:b/>
          <w:bCs/>
          <w:szCs w:val="24"/>
          <w:u w:val="single"/>
        </w:rPr>
      </w:pPr>
      <w:r w:rsidRPr="001B4639">
        <w:rPr>
          <w:rFonts w:asciiTheme="majorHAnsi" w:hAnsiTheme="majorHAnsi" w:cstheme="majorHAnsi"/>
          <w:b/>
          <w:bCs/>
          <w:szCs w:val="24"/>
          <w:u w:val="single"/>
        </w:rPr>
        <w:t>Tennessee AGD Master Track</w:t>
      </w:r>
    </w:p>
    <w:p w14:paraId="604F1CEB" w14:textId="77777777" w:rsidR="00953210" w:rsidRPr="00953210" w:rsidRDefault="00953210" w:rsidP="00953210">
      <w:pPr>
        <w:rPr>
          <w:rFonts w:asciiTheme="majorHAnsi" w:hAnsiTheme="majorHAnsi" w:cstheme="majorHAnsi"/>
          <w:sz w:val="22"/>
          <w:szCs w:val="22"/>
        </w:rPr>
      </w:pPr>
    </w:p>
    <w:p w14:paraId="56154C7F" w14:textId="77777777" w:rsidR="00953210" w:rsidRPr="00953210" w:rsidRDefault="00953210" w:rsidP="00953210">
      <w:pPr>
        <w:rPr>
          <w:rFonts w:asciiTheme="majorHAnsi" w:hAnsiTheme="majorHAnsi" w:cstheme="majorHAnsi"/>
          <w:b/>
          <w:bCs/>
          <w:sz w:val="22"/>
          <w:szCs w:val="22"/>
          <w:u w:val="single"/>
        </w:rPr>
      </w:pPr>
      <w:r w:rsidRPr="00953210">
        <w:rPr>
          <w:rFonts w:asciiTheme="majorHAnsi" w:hAnsiTheme="majorHAnsi" w:cstheme="majorHAnsi"/>
          <w:b/>
          <w:bCs/>
          <w:sz w:val="22"/>
          <w:szCs w:val="22"/>
          <w:u w:val="single"/>
        </w:rPr>
        <w:t>Biography</w:t>
      </w:r>
    </w:p>
    <w:p w14:paraId="4E65C9A3" w14:textId="73110118" w:rsidR="00FE1EAC" w:rsidRPr="00FE1EAC" w:rsidRDefault="00FE1EAC" w:rsidP="00FE1EAC">
      <w:pPr>
        <w:rPr>
          <w:rFonts w:asciiTheme="majorHAnsi" w:hAnsiTheme="majorHAnsi" w:cstheme="majorHAnsi"/>
          <w:sz w:val="22"/>
          <w:szCs w:val="22"/>
        </w:rPr>
      </w:pPr>
      <w:r w:rsidRPr="00FE1EAC">
        <w:rPr>
          <w:rFonts w:asciiTheme="majorHAnsi" w:hAnsiTheme="majorHAnsi" w:cstheme="majorHAnsi"/>
          <w:sz w:val="22"/>
          <w:szCs w:val="22"/>
        </w:rPr>
        <w:t>Dr. Ken Tilashalski (“Dr. T”) is quite unique in that he has earned specialty certificates in both oral &amp; maxillofacial pathology and endodontics.  He is the Dean at the University of Tennessee Health Science Center College of Dentistry.  After receiving his D.M.D. from Southern Illinois University School of Dental Medicine, Dr. Tilashalski completed both of his residencies along with an American Cancer Society fellowship at the University of Alabama</w:t>
      </w:r>
      <w:r w:rsidR="00B848A3">
        <w:rPr>
          <w:rFonts w:asciiTheme="majorHAnsi" w:hAnsiTheme="majorHAnsi" w:cstheme="majorHAnsi"/>
          <w:sz w:val="22"/>
          <w:szCs w:val="22"/>
        </w:rPr>
        <w:t xml:space="preserve"> at Birmingham School of Dentistry</w:t>
      </w:r>
      <w:r w:rsidRPr="00FE1EAC">
        <w:rPr>
          <w:rFonts w:asciiTheme="majorHAnsi" w:hAnsiTheme="majorHAnsi" w:cstheme="majorHAnsi"/>
          <w:sz w:val="22"/>
          <w:szCs w:val="22"/>
        </w:rPr>
        <w:t xml:space="preserve">.  </w:t>
      </w:r>
    </w:p>
    <w:p w14:paraId="31F541B7" w14:textId="77777777" w:rsidR="00FE1EAC" w:rsidRPr="00FE1EAC" w:rsidRDefault="00FE1EAC" w:rsidP="00FE1EAC">
      <w:pPr>
        <w:rPr>
          <w:rFonts w:asciiTheme="majorHAnsi" w:hAnsiTheme="majorHAnsi" w:cstheme="majorHAnsi"/>
          <w:sz w:val="22"/>
          <w:szCs w:val="22"/>
        </w:rPr>
      </w:pPr>
    </w:p>
    <w:p w14:paraId="39A457C0" w14:textId="5837242E" w:rsidR="00953210" w:rsidRDefault="003504B3" w:rsidP="003504B3">
      <w:pPr>
        <w:rPr>
          <w:rFonts w:asciiTheme="majorHAnsi" w:hAnsiTheme="majorHAnsi" w:cstheme="majorHAnsi"/>
          <w:sz w:val="22"/>
          <w:szCs w:val="22"/>
        </w:rPr>
      </w:pPr>
      <w:r>
        <w:rPr>
          <w:rFonts w:asciiTheme="majorHAnsi" w:hAnsiTheme="majorHAnsi" w:cstheme="majorHAnsi"/>
          <w:sz w:val="22"/>
          <w:szCs w:val="22"/>
        </w:rPr>
        <w:t xml:space="preserve">Dr. T’s leadership roles have included clinic director, department chair, postgraduate program director, associate dean for academic affairs, executive associate dean, and now dean.  </w:t>
      </w:r>
      <w:r w:rsidR="00FE1EAC" w:rsidRPr="00FE1EAC">
        <w:rPr>
          <w:rFonts w:asciiTheme="majorHAnsi" w:hAnsiTheme="majorHAnsi" w:cstheme="majorHAnsi"/>
          <w:sz w:val="22"/>
          <w:szCs w:val="22"/>
        </w:rPr>
        <w:t xml:space="preserve">Dr. T is passionate about educating dental health care professionals.  He lectures extensively nationally and internationally in the areas of oral pathology, oral medicine, and </w:t>
      </w:r>
      <w:r>
        <w:rPr>
          <w:rFonts w:asciiTheme="majorHAnsi" w:hAnsiTheme="majorHAnsi" w:cstheme="majorHAnsi"/>
          <w:sz w:val="22"/>
          <w:szCs w:val="22"/>
        </w:rPr>
        <w:t>infection control</w:t>
      </w:r>
      <w:r w:rsidR="00FE1EAC" w:rsidRPr="00FE1EAC">
        <w:rPr>
          <w:rFonts w:asciiTheme="majorHAnsi" w:hAnsiTheme="majorHAnsi" w:cstheme="majorHAnsi"/>
          <w:sz w:val="22"/>
          <w:szCs w:val="22"/>
        </w:rPr>
        <w:t>.  He was honored as a recipient of the UAB President’s Award for Excellence in Teaching for his dynamic, high-energy, entertaining and interactive style.</w:t>
      </w:r>
      <w:r>
        <w:rPr>
          <w:rFonts w:asciiTheme="majorHAnsi" w:hAnsiTheme="majorHAnsi" w:cstheme="majorHAnsi"/>
          <w:sz w:val="22"/>
          <w:szCs w:val="22"/>
        </w:rPr>
        <w:t xml:space="preserve">  He is a fellow of the American College of Dentists and the International College of Dentists.  Dr. T was awarded the University of Alabama School of Dentistry Alumni Association Endowed Professorship and “Most Excellent Fellow” designation from the Alabama Dental Association.</w:t>
      </w:r>
    </w:p>
    <w:p w14:paraId="00D22D42" w14:textId="77777777" w:rsidR="001B4639" w:rsidRDefault="001B4639" w:rsidP="003504B3">
      <w:pPr>
        <w:rPr>
          <w:rFonts w:asciiTheme="majorHAnsi" w:hAnsiTheme="majorHAnsi" w:cstheme="majorHAnsi"/>
          <w:sz w:val="22"/>
          <w:szCs w:val="22"/>
        </w:rPr>
      </w:pPr>
    </w:p>
    <w:p w14:paraId="0BF19C39" w14:textId="77777777" w:rsidR="001B4639" w:rsidRDefault="001B4639" w:rsidP="001B4639">
      <w:pPr>
        <w:rPr>
          <w:rFonts w:asciiTheme="majorHAnsi" w:hAnsiTheme="majorHAnsi" w:cstheme="majorHAnsi"/>
          <w:szCs w:val="24"/>
        </w:rPr>
      </w:pPr>
    </w:p>
    <w:p w14:paraId="2EA5D68E" w14:textId="67964C14"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 xml:space="preserve">Title:  </w:t>
      </w:r>
      <w:r w:rsidRPr="009C4092">
        <w:rPr>
          <w:rFonts w:asciiTheme="majorHAnsi" w:hAnsiTheme="majorHAnsi" w:cstheme="majorHAnsi"/>
          <w:b/>
          <w:bCs/>
          <w:color w:val="000000" w:themeColor="text1"/>
          <w:szCs w:val="24"/>
        </w:rPr>
        <w:t xml:space="preserve">Pathology Lecture Series – Differential Diagnosis Part 1:  Color Changes &amp; </w:t>
      </w:r>
      <w:r>
        <w:rPr>
          <w:rFonts w:asciiTheme="majorHAnsi" w:hAnsiTheme="majorHAnsi" w:cstheme="majorHAnsi"/>
          <w:b/>
          <w:bCs/>
          <w:color w:val="000000" w:themeColor="text1"/>
          <w:szCs w:val="24"/>
        </w:rPr>
        <w:t>Pigmented Lesions</w:t>
      </w:r>
    </w:p>
    <w:p w14:paraId="2B24C1F1" w14:textId="77777777" w:rsidR="001B4639" w:rsidRPr="009C4092" w:rsidRDefault="001B4639" w:rsidP="001B4639">
      <w:pPr>
        <w:rPr>
          <w:rFonts w:asciiTheme="majorHAnsi" w:hAnsiTheme="majorHAnsi" w:cstheme="majorHAnsi"/>
          <w:szCs w:val="24"/>
        </w:rPr>
      </w:pPr>
    </w:p>
    <w:p w14:paraId="3C310D29"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Put on your thinking caps on as your diagnostic abilities are about to be challenged!  Real world cases will frame a discussion on the differential diagnosis process.  Th</w:t>
      </w:r>
      <w:r>
        <w:rPr>
          <w:rFonts w:asciiTheme="majorHAnsi" w:hAnsiTheme="majorHAnsi" w:cstheme="majorHAnsi"/>
          <w:szCs w:val="24"/>
        </w:rPr>
        <w:t>e 1</w:t>
      </w:r>
      <w:r w:rsidRPr="00073001">
        <w:rPr>
          <w:rFonts w:asciiTheme="majorHAnsi" w:hAnsiTheme="majorHAnsi" w:cstheme="majorHAnsi"/>
          <w:szCs w:val="24"/>
          <w:vertAlign w:val="superscript"/>
        </w:rPr>
        <w:t>st</w:t>
      </w:r>
      <w:r w:rsidRPr="009C4092">
        <w:rPr>
          <w:rFonts w:asciiTheme="majorHAnsi" w:hAnsiTheme="majorHAnsi" w:cstheme="majorHAnsi"/>
          <w:szCs w:val="24"/>
        </w:rPr>
        <w:t xml:space="preserve"> part of th</w:t>
      </w:r>
      <w:r>
        <w:rPr>
          <w:rFonts w:asciiTheme="majorHAnsi" w:hAnsiTheme="majorHAnsi" w:cstheme="majorHAnsi"/>
          <w:szCs w:val="24"/>
        </w:rPr>
        <w:t>is</w:t>
      </w:r>
      <w:r w:rsidRPr="009C4092">
        <w:rPr>
          <w:rFonts w:asciiTheme="majorHAnsi" w:hAnsiTheme="majorHAnsi" w:cstheme="majorHAnsi"/>
          <w:szCs w:val="24"/>
        </w:rPr>
        <w:t xml:space="preserve"> series will focus on white, red, blue, brown, and yellow conditions </w:t>
      </w:r>
      <w:r>
        <w:rPr>
          <w:rFonts w:asciiTheme="majorHAnsi" w:hAnsiTheme="majorHAnsi" w:cstheme="majorHAnsi"/>
          <w:szCs w:val="24"/>
        </w:rPr>
        <w:t>which</w:t>
      </w:r>
      <w:r w:rsidRPr="009C4092">
        <w:rPr>
          <w:rFonts w:asciiTheme="majorHAnsi" w:hAnsiTheme="majorHAnsi" w:cstheme="majorHAnsi"/>
          <w:szCs w:val="24"/>
        </w:rPr>
        <w:t xml:space="preserve"> could represent infections, cancer, systemic conditions, and more.  You’ll learn clinical tidbits on how to distinguish these oral conditions and pearls to manage your patients.  Lots and lots of clinical cases will make this lively presentation come to life.</w:t>
      </w:r>
      <w:r>
        <w:rPr>
          <w:rFonts w:asciiTheme="majorHAnsi" w:hAnsiTheme="majorHAnsi" w:cstheme="majorHAnsi"/>
          <w:szCs w:val="24"/>
        </w:rPr>
        <w:t xml:space="preserve">  </w:t>
      </w:r>
      <w:r w:rsidRPr="009C4092">
        <w:rPr>
          <w:rFonts w:asciiTheme="majorHAnsi" w:hAnsiTheme="majorHAnsi" w:cstheme="majorHAnsi"/>
          <w:szCs w:val="24"/>
        </w:rPr>
        <w:t xml:space="preserve">In this </w:t>
      </w:r>
      <w:r>
        <w:rPr>
          <w:rFonts w:asciiTheme="majorHAnsi" w:hAnsiTheme="majorHAnsi" w:cstheme="majorHAnsi"/>
          <w:szCs w:val="24"/>
        </w:rPr>
        <w:t>webinar</w:t>
      </w:r>
      <w:r w:rsidRPr="009C4092">
        <w:rPr>
          <w:rFonts w:asciiTheme="majorHAnsi" w:hAnsiTheme="majorHAnsi" w:cstheme="majorHAnsi"/>
          <w:szCs w:val="24"/>
        </w:rPr>
        <w:t>, the “mysteries” of pathology will become clear, allowing you to communicate more effectively with your patient</w:t>
      </w:r>
      <w:r>
        <w:rPr>
          <w:rFonts w:asciiTheme="majorHAnsi" w:hAnsiTheme="majorHAnsi" w:cstheme="majorHAnsi"/>
          <w:szCs w:val="24"/>
        </w:rPr>
        <w:t>s</w:t>
      </w:r>
      <w:r w:rsidRPr="009C4092">
        <w:rPr>
          <w:rFonts w:asciiTheme="majorHAnsi" w:hAnsiTheme="majorHAnsi" w:cstheme="majorHAnsi"/>
          <w:szCs w:val="24"/>
        </w:rPr>
        <w:t xml:space="preserve"> regarding their oral diseases.  You will learn key points to help make your life easier and practical information that can be immediately applied.  </w:t>
      </w:r>
    </w:p>
    <w:p w14:paraId="40D2AE7B" w14:textId="77777777" w:rsidR="001B4639" w:rsidRPr="009C4092" w:rsidRDefault="001B4639" w:rsidP="001B4639">
      <w:pPr>
        <w:rPr>
          <w:rFonts w:asciiTheme="majorHAnsi" w:hAnsiTheme="majorHAnsi" w:cstheme="majorHAnsi"/>
          <w:szCs w:val="24"/>
        </w:rPr>
      </w:pPr>
    </w:p>
    <w:p w14:paraId="6D7C78FA"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I.  Cases Highlighting the Differential Diagnosis Process</w:t>
      </w:r>
    </w:p>
    <w:p w14:paraId="5B39F5EC"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II.  Review of Cases &amp; Their Management</w:t>
      </w:r>
    </w:p>
    <w:p w14:paraId="599C362D"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ab/>
        <w:t>A.  White lesions: can be scraped off</w:t>
      </w:r>
    </w:p>
    <w:p w14:paraId="58D73536"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ab/>
        <w:t>B.  White lesions: cannot be scraped off</w:t>
      </w:r>
    </w:p>
    <w:p w14:paraId="532142CA"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ab/>
      </w:r>
      <w:r>
        <w:rPr>
          <w:rFonts w:asciiTheme="majorHAnsi" w:hAnsiTheme="majorHAnsi" w:cstheme="majorHAnsi"/>
          <w:szCs w:val="24"/>
        </w:rPr>
        <w:t>C</w:t>
      </w:r>
      <w:r w:rsidRPr="009C4092">
        <w:rPr>
          <w:rFonts w:asciiTheme="majorHAnsi" w:hAnsiTheme="majorHAnsi" w:cstheme="majorHAnsi"/>
          <w:szCs w:val="24"/>
        </w:rPr>
        <w:t>.  Red</w:t>
      </w:r>
      <w:r>
        <w:rPr>
          <w:rFonts w:asciiTheme="majorHAnsi" w:hAnsiTheme="majorHAnsi" w:cstheme="majorHAnsi"/>
          <w:szCs w:val="24"/>
        </w:rPr>
        <w:t>, blue, and/or purple</w:t>
      </w:r>
      <w:r w:rsidRPr="009C4092">
        <w:rPr>
          <w:rFonts w:asciiTheme="majorHAnsi" w:hAnsiTheme="majorHAnsi" w:cstheme="majorHAnsi"/>
          <w:szCs w:val="24"/>
        </w:rPr>
        <w:t xml:space="preserve"> lesions</w:t>
      </w:r>
    </w:p>
    <w:p w14:paraId="3E0C27FC"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ab/>
      </w:r>
      <w:r>
        <w:rPr>
          <w:rFonts w:asciiTheme="majorHAnsi" w:hAnsiTheme="majorHAnsi" w:cstheme="majorHAnsi"/>
          <w:szCs w:val="24"/>
        </w:rPr>
        <w:t>D</w:t>
      </w:r>
      <w:r w:rsidRPr="009C4092">
        <w:rPr>
          <w:rFonts w:asciiTheme="majorHAnsi" w:hAnsiTheme="majorHAnsi" w:cstheme="majorHAnsi"/>
          <w:szCs w:val="24"/>
        </w:rPr>
        <w:t>.  Petechial and other bleeds</w:t>
      </w:r>
    </w:p>
    <w:p w14:paraId="7366B7E6" w14:textId="4226DA6C"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ab/>
        <w:t>E.  Brown</w:t>
      </w:r>
      <w:r>
        <w:rPr>
          <w:rFonts w:asciiTheme="majorHAnsi" w:hAnsiTheme="majorHAnsi" w:cstheme="majorHAnsi"/>
          <w:szCs w:val="24"/>
        </w:rPr>
        <w:t xml:space="preserve">, </w:t>
      </w:r>
      <w:r w:rsidRPr="009C4092">
        <w:rPr>
          <w:rFonts w:asciiTheme="majorHAnsi" w:hAnsiTheme="majorHAnsi" w:cstheme="majorHAnsi"/>
          <w:szCs w:val="24"/>
        </w:rPr>
        <w:t>gray, and/or black lesions</w:t>
      </w:r>
    </w:p>
    <w:p w14:paraId="46A9EC17"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ab/>
        <w:t>F.  Yellow lesions</w:t>
      </w:r>
    </w:p>
    <w:p w14:paraId="7FD2F9A8" w14:textId="77777777" w:rsidR="001B4639" w:rsidRPr="009C4092" w:rsidRDefault="001B4639" w:rsidP="001B4639">
      <w:pPr>
        <w:rPr>
          <w:rFonts w:asciiTheme="majorHAnsi" w:hAnsiTheme="majorHAnsi" w:cstheme="majorHAnsi"/>
          <w:szCs w:val="24"/>
        </w:rPr>
      </w:pPr>
    </w:p>
    <w:p w14:paraId="5BC090EC"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Course objectives:</w:t>
      </w:r>
    </w:p>
    <w:p w14:paraId="0584A759" w14:textId="77777777" w:rsidR="001B4639" w:rsidRPr="009C4092" w:rsidRDefault="001B4639" w:rsidP="001B4639">
      <w:pPr>
        <w:pStyle w:val="ListParagraph"/>
        <w:numPr>
          <w:ilvl w:val="0"/>
          <w:numId w:val="3"/>
        </w:numPr>
        <w:rPr>
          <w:rFonts w:asciiTheme="majorHAnsi" w:hAnsiTheme="majorHAnsi" w:cstheme="majorHAnsi"/>
          <w:szCs w:val="24"/>
        </w:rPr>
      </w:pPr>
      <w:r w:rsidRPr="009C4092">
        <w:rPr>
          <w:rFonts w:asciiTheme="majorHAnsi" w:hAnsiTheme="majorHAnsi" w:cstheme="majorHAnsi"/>
          <w:szCs w:val="24"/>
        </w:rPr>
        <w:t>Understand the differential diagnosis process</w:t>
      </w:r>
    </w:p>
    <w:p w14:paraId="4D14AD3D" w14:textId="77777777" w:rsidR="001B4639" w:rsidRPr="009C4092" w:rsidRDefault="001B4639" w:rsidP="001B4639">
      <w:pPr>
        <w:pStyle w:val="ListParagraph"/>
        <w:numPr>
          <w:ilvl w:val="0"/>
          <w:numId w:val="3"/>
        </w:numPr>
        <w:rPr>
          <w:rFonts w:asciiTheme="majorHAnsi" w:hAnsiTheme="majorHAnsi" w:cstheme="majorHAnsi"/>
          <w:szCs w:val="24"/>
        </w:rPr>
      </w:pPr>
      <w:r w:rsidRPr="009C4092">
        <w:rPr>
          <w:rFonts w:asciiTheme="majorHAnsi" w:hAnsiTheme="majorHAnsi" w:cstheme="majorHAnsi"/>
          <w:szCs w:val="24"/>
        </w:rPr>
        <w:t>Develop differential diagnoses of oral conditions</w:t>
      </w:r>
    </w:p>
    <w:p w14:paraId="2D46E7EF" w14:textId="77777777" w:rsidR="001B4639" w:rsidRPr="009C4092" w:rsidRDefault="001B4639" w:rsidP="001B4639">
      <w:pPr>
        <w:pStyle w:val="ListParagraph"/>
        <w:numPr>
          <w:ilvl w:val="0"/>
          <w:numId w:val="3"/>
        </w:numPr>
        <w:rPr>
          <w:rFonts w:asciiTheme="majorHAnsi" w:hAnsiTheme="majorHAnsi" w:cstheme="majorHAnsi"/>
          <w:szCs w:val="24"/>
        </w:rPr>
      </w:pPr>
      <w:r w:rsidRPr="009C4092">
        <w:rPr>
          <w:rFonts w:asciiTheme="majorHAnsi" w:hAnsiTheme="majorHAnsi" w:cstheme="majorHAnsi"/>
          <w:szCs w:val="24"/>
        </w:rPr>
        <w:t>Evaluate disorders that present with mucosal color changes</w:t>
      </w:r>
    </w:p>
    <w:p w14:paraId="143C8F72" w14:textId="77777777" w:rsidR="001B4639" w:rsidRPr="009C4092" w:rsidRDefault="001B4639" w:rsidP="001B4639">
      <w:pPr>
        <w:pStyle w:val="ListParagraph"/>
        <w:numPr>
          <w:ilvl w:val="0"/>
          <w:numId w:val="3"/>
        </w:numPr>
        <w:rPr>
          <w:rFonts w:asciiTheme="majorHAnsi" w:hAnsiTheme="majorHAnsi" w:cstheme="majorHAnsi"/>
          <w:szCs w:val="24"/>
        </w:rPr>
      </w:pPr>
      <w:r w:rsidRPr="009C4092">
        <w:rPr>
          <w:rFonts w:asciiTheme="majorHAnsi" w:hAnsiTheme="majorHAnsi" w:cstheme="majorHAnsi"/>
          <w:szCs w:val="24"/>
        </w:rPr>
        <w:lastRenderedPageBreak/>
        <w:t>Understand the etiology of oral lesion</w:t>
      </w:r>
      <w:r>
        <w:rPr>
          <w:rFonts w:asciiTheme="majorHAnsi" w:hAnsiTheme="majorHAnsi" w:cstheme="majorHAnsi"/>
          <w:szCs w:val="24"/>
        </w:rPr>
        <w:t>s</w:t>
      </w:r>
    </w:p>
    <w:p w14:paraId="7257D729" w14:textId="77777777" w:rsidR="001B4639" w:rsidRPr="009C4092" w:rsidRDefault="001B4639" w:rsidP="001B4639">
      <w:pPr>
        <w:pStyle w:val="ListParagraph"/>
        <w:numPr>
          <w:ilvl w:val="0"/>
          <w:numId w:val="3"/>
        </w:numPr>
        <w:rPr>
          <w:rFonts w:asciiTheme="majorHAnsi" w:hAnsiTheme="majorHAnsi" w:cstheme="majorHAnsi"/>
          <w:szCs w:val="24"/>
        </w:rPr>
      </w:pPr>
      <w:r w:rsidRPr="009C4092">
        <w:rPr>
          <w:rFonts w:asciiTheme="majorHAnsi" w:hAnsiTheme="majorHAnsi" w:cstheme="majorHAnsi"/>
          <w:szCs w:val="24"/>
        </w:rPr>
        <w:t>Differentiate harmless versus dangerous pigmented lesions</w:t>
      </w:r>
    </w:p>
    <w:p w14:paraId="2EE63C6D" w14:textId="77777777" w:rsidR="001B4639" w:rsidRPr="009C4092" w:rsidRDefault="001B4639" w:rsidP="001B4639">
      <w:pPr>
        <w:pStyle w:val="ListParagraph"/>
        <w:numPr>
          <w:ilvl w:val="0"/>
          <w:numId w:val="3"/>
        </w:numPr>
        <w:rPr>
          <w:rFonts w:asciiTheme="majorHAnsi" w:hAnsiTheme="majorHAnsi" w:cstheme="majorHAnsi"/>
          <w:szCs w:val="24"/>
        </w:rPr>
      </w:pPr>
      <w:r w:rsidRPr="009C4092">
        <w:rPr>
          <w:rFonts w:asciiTheme="majorHAnsi" w:hAnsiTheme="majorHAnsi" w:cstheme="majorHAnsi"/>
          <w:szCs w:val="24"/>
        </w:rPr>
        <w:t>Generate appropriate treatment options</w:t>
      </w:r>
      <w:r>
        <w:rPr>
          <w:rFonts w:asciiTheme="majorHAnsi" w:hAnsiTheme="majorHAnsi" w:cstheme="majorHAnsi"/>
          <w:szCs w:val="24"/>
        </w:rPr>
        <w:t xml:space="preserve"> including pharmacologic management</w:t>
      </w:r>
    </w:p>
    <w:p w14:paraId="51A8F717" w14:textId="77777777" w:rsidR="001B4639" w:rsidRPr="009C4092" w:rsidRDefault="001B4639" w:rsidP="001B4639">
      <w:pPr>
        <w:pStyle w:val="ListParagraph"/>
        <w:numPr>
          <w:ilvl w:val="0"/>
          <w:numId w:val="3"/>
        </w:numPr>
        <w:rPr>
          <w:rFonts w:asciiTheme="majorHAnsi" w:hAnsiTheme="majorHAnsi" w:cstheme="majorHAnsi"/>
          <w:szCs w:val="24"/>
        </w:rPr>
      </w:pPr>
      <w:r w:rsidRPr="009C4092">
        <w:rPr>
          <w:rFonts w:asciiTheme="majorHAnsi" w:hAnsiTheme="majorHAnsi" w:cstheme="majorHAnsi"/>
          <w:szCs w:val="24"/>
        </w:rPr>
        <w:t xml:space="preserve">Choose whether a </w:t>
      </w:r>
      <w:proofErr w:type="gramStart"/>
      <w:r w:rsidRPr="009C4092">
        <w:rPr>
          <w:rFonts w:asciiTheme="majorHAnsi" w:hAnsiTheme="majorHAnsi" w:cstheme="majorHAnsi"/>
          <w:szCs w:val="24"/>
        </w:rPr>
        <w:t>condition needs</w:t>
      </w:r>
      <w:proofErr w:type="gramEnd"/>
      <w:r w:rsidRPr="009C4092">
        <w:rPr>
          <w:rFonts w:asciiTheme="majorHAnsi" w:hAnsiTheme="majorHAnsi" w:cstheme="majorHAnsi"/>
          <w:szCs w:val="24"/>
        </w:rPr>
        <w:t xml:space="preserve"> monitored, biopsied, or referred</w:t>
      </w:r>
    </w:p>
    <w:p w14:paraId="5A1C10DC" w14:textId="77777777" w:rsidR="001B4639" w:rsidRPr="009C4092" w:rsidRDefault="001B4639" w:rsidP="001B4639">
      <w:pPr>
        <w:rPr>
          <w:rFonts w:asciiTheme="majorHAnsi" w:hAnsiTheme="majorHAnsi" w:cstheme="majorHAnsi"/>
          <w:szCs w:val="24"/>
        </w:rPr>
      </w:pPr>
    </w:p>
    <w:p w14:paraId="01BFAA28" w14:textId="77777777" w:rsidR="001B4639" w:rsidRDefault="001B4639" w:rsidP="001B4639">
      <w:pPr>
        <w:rPr>
          <w:rFonts w:asciiTheme="majorHAnsi" w:hAnsiTheme="majorHAnsi" w:cstheme="majorHAnsi"/>
          <w:szCs w:val="24"/>
        </w:rPr>
      </w:pPr>
    </w:p>
    <w:p w14:paraId="30EF7907"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 xml:space="preserve">Title:  </w:t>
      </w:r>
      <w:r w:rsidRPr="009C4092">
        <w:rPr>
          <w:rFonts w:asciiTheme="majorHAnsi" w:hAnsiTheme="majorHAnsi" w:cstheme="majorHAnsi"/>
          <w:b/>
          <w:bCs/>
          <w:color w:val="000000" w:themeColor="text1"/>
          <w:szCs w:val="24"/>
        </w:rPr>
        <w:t>Pathology Lecture Series – Differential Diagnosis Part 2:  Ulcers &amp; Lumps and Bumps</w:t>
      </w:r>
    </w:p>
    <w:p w14:paraId="6E02D9BC" w14:textId="77777777" w:rsidR="001B4639" w:rsidRPr="009C4092" w:rsidRDefault="001B4639" w:rsidP="001B4639">
      <w:pPr>
        <w:rPr>
          <w:rFonts w:asciiTheme="majorHAnsi" w:hAnsiTheme="majorHAnsi" w:cstheme="majorHAnsi"/>
          <w:szCs w:val="24"/>
        </w:rPr>
      </w:pPr>
    </w:p>
    <w:p w14:paraId="7E67EA1E"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This 2</w:t>
      </w:r>
      <w:r w:rsidRPr="009C4092">
        <w:rPr>
          <w:rFonts w:asciiTheme="majorHAnsi" w:hAnsiTheme="majorHAnsi" w:cstheme="majorHAnsi"/>
          <w:szCs w:val="24"/>
          <w:vertAlign w:val="superscript"/>
        </w:rPr>
        <w:t>nd</w:t>
      </w:r>
      <w:r w:rsidRPr="009C4092">
        <w:rPr>
          <w:rFonts w:asciiTheme="majorHAnsi" w:hAnsiTheme="majorHAnsi" w:cstheme="majorHAnsi"/>
          <w:szCs w:val="24"/>
        </w:rPr>
        <w:t xml:space="preserve"> part of the Differential Diagnosis Series (no worries if you missed Part 1) will focus on ulcerative lesions and soft tissue growths.  Clinical cases will launch a discussion of how to differentiate oral ulcers that may be infectious, traumatic, or malignant.  Soft tissue lumps and bumps </w:t>
      </w:r>
      <w:r>
        <w:rPr>
          <w:rFonts w:asciiTheme="majorHAnsi" w:hAnsiTheme="majorHAnsi" w:cstheme="majorHAnsi"/>
          <w:szCs w:val="24"/>
        </w:rPr>
        <w:t xml:space="preserve">are common in our </w:t>
      </w:r>
      <w:proofErr w:type="gramStart"/>
      <w:r>
        <w:rPr>
          <w:rFonts w:asciiTheme="majorHAnsi" w:hAnsiTheme="majorHAnsi" w:cstheme="majorHAnsi"/>
          <w:szCs w:val="24"/>
        </w:rPr>
        <w:t>world</w:t>
      </w:r>
      <w:proofErr w:type="gramEnd"/>
      <w:r>
        <w:rPr>
          <w:rFonts w:asciiTheme="majorHAnsi" w:hAnsiTheme="majorHAnsi" w:cstheme="majorHAnsi"/>
          <w:szCs w:val="24"/>
        </w:rPr>
        <w:t xml:space="preserve"> and it is important to differentiate between</w:t>
      </w:r>
      <w:r w:rsidRPr="009C4092">
        <w:rPr>
          <w:rFonts w:asciiTheme="majorHAnsi" w:hAnsiTheme="majorHAnsi" w:cstheme="majorHAnsi"/>
          <w:szCs w:val="24"/>
        </w:rPr>
        <w:t xml:space="preserve"> reactive, tumorous, and infectious conditions.  You’ll learn clinical tidbits on how to distinguish these oral conditions and pearls to manage your patients.  A myriad of topics and </w:t>
      </w:r>
      <w:proofErr w:type="gramStart"/>
      <w:r w:rsidRPr="009C4092">
        <w:rPr>
          <w:rFonts w:asciiTheme="majorHAnsi" w:hAnsiTheme="majorHAnsi" w:cstheme="majorHAnsi"/>
          <w:szCs w:val="24"/>
        </w:rPr>
        <w:t>cutting edge</w:t>
      </w:r>
      <w:proofErr w:type="gramEnd"/>
      <w:r w:rsidRPr="009C4092">
        <w:rPr>
          <w:rFonts w:asciiTheme="majorHAnsi" w:hAnsiTheme="majorHAnsi" w:cstheme="majorHAnsi"/>
          <w:szCs w:val="24"/>
        </w:rPr>
        <w:t xml:space="preserve"> information will be discussed, and include: What is that thing and how do I treat it? What caused this and how do I prevent it? And if it hurts, what will make it feel better?  </w:t>
      </w:r>
    </w:p>
    <w:p w14:paraId="738D8598" w14:textId="77777777" w:rsidR="001B4639" w:rsidRPr="009C4092" w:rsidRDefault="001B4639" w:rsidP="001B4639">
      <w:pPr>
        <w:rPr>
          <w:rFonts w:asciiTheme="majorHAnsi" w:hAnsiTheme="majorHAnsi" w:cstheme="majorHAnsi"/>
          <w:szCs w:val="24"/>
        </w:rPr>
      </w:pPr>
    </w:p>
    <w:p w14:paraId="174B0C6F"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I.  Cases Highlighting the Differential Diagnosis Process</w:t>
      </w:r>
    </w:p>
    <w:p w14:paraId="3528CDAD"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II.  Review of Cases &amp; Their Management</w:t>
      </w:r>
    </w:p>
    <w:p w14:paraId="79672708"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ab/>
        <w:t>A.  Ulcers: short term</w:t>
      </w:r>
    </w:p>
    <w:p w14:paraId="05515F29"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ab/>
        <w:t>B.  Ulcers: long term</w:t>
      </w:r>
    </w:p>
    <w:p w14:paraId="1DBC681C"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ab/>
        <w:t>B.  Papillary growths</w:t>
      </w:r>
    </w:p>
    <w:p w14:paraId="5FF2C732"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ab/>
        <w:t>C.  Lumps &amp; bumps: reactive lesions</w:t>
      </w:r>
    </w:p>
    <w:p w14:paraId="7FD0BEDF"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ab/>
        <w:t>D.  Lumps &amp; bumps: cysts &amp; neoplasms</w:t>
      </w:r>
    </w:p>
    <w:p w14:paraId="06377EEE" w14:textId="77777777" w:rsidR="001B4639" w:rsidRPr="009C4092" w:rsidRDefault="001B4639" w:rsidP="001B4639">
      <w:pPr>
        <w:rPr>
          <w:rFonts w:asciiTheme="majorHAnsi" w:hAnsiTheme="majorHAnsi" w:cstheme="majorHAnsi"/>
          <w:szCs w:val="24"/>
        </w:rPr>
      </w:pPr>
    </w:p>
    <w:p w14:paraId="1A0D24FD"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Course objectives:</w:t>
      </w:r>
    </w:p>
    <w:p w14:paraId="0550BE0D" w14:textId="77777777" w:rsidR="001B4639" w:rsidRDefault="001B4639" w:rsidP="001B4639">
      <w:pPr>
        <w:pStyle w:val="ListParagraph"/>
        <w:numPr>
          <w:ilvl w:val="0"/>
          <w:numId w:val="7"/>
        </w:numPr>
        <w:rPr>
          <w:rFonts w:asciiTheme="majorHAnsi" w:hAnsiTheme="majorHAnsi" w:cstheme="majorHAnsi"/>
          <w:szCs w:val="24"/>
        </w:rPr>
      </w:pPr>
      <w:r w:rsidRPr="009C4092">
        <w:rPr>
          <w:rFonts w:asciiTheme="majorHAnsi" w:hAnsiTheme="majorHAnsi" w:cstheme="majorHAnsi"/>
          <w:szCs w:val="24"/>
        </w:rPr>
        <w:t>Understand the differential diagnosis process</w:t>
      </w:r>
    </w:p>
    <w:p w14:paraId="0597BEC9" w14:textId="77777777" w:rsidR="001B4639" w:rsidRPr="009C4092" w:rsidRDefault="001B4639" w:rsidP="001B4639">
      <w:pPr>
        <w:pStyle w:val="ListParagraph"/>
        <w:numPr>
          <w:ilvl w:val="0"/>
          <w:numId w:val="7"/>
        </w:numPr>
        <w:rPr>
          <w:rFonts w:asciiTheme="majorHAnsi" w:hAnsiTheme="majorHAnsi" w:cstheme="majorHAnsi"/>
          <w:szCs w:val="24"/>
        </w:rPr>
      </w:pPr>
      <w:r w:rsidRPr="009C4092">
        <w:rPr>
          <w:rFonts w:asciiTheme="majorHAnsi" w:hAnsiTheme="majorHAnsi" w:cstheme="majorHAnsi"/>
          <w:szCs w:val="24"/>
        </w:rPr>
        <w:t>Distinguish between ulcers of viral, developmental, autoimmune, versus cancerous origin</w:t>
      </w:r>
    </w:p>
    <w:p w14:paraId="297ED221" w14:textId="77777777" w:rsidR="001B4639" w:rsidRPr="009C4092" w:rsidRDefault="001B4639" w:rsidP="001B4639">
      <w:pPr>
        <w:pStyle w:val="ListParagraph"/>
        <w:numPr>
          <w:ilvl w:val="0"/>
          <w:numId w:val="7"/>
        </w:numPr>
        <w:rPr>
          <w:rFonts w:asciiTheme="majorHAnsi" w:hAnsiTheme="majorHAnsi" w:cstheme="majorHAnsi"/>
          <w:szCs w:val="24"/>
        </w:rPr>
      </w:pPr>
      <w:r w:rsidRPr="009C4092">
        <w:rPr>
          <w:rFonts w:asciiTheme="majorHAnsi" w:hAnsiTheme="majorHAnsi" w:cstheme="majorHAnsi"/>
          <w:szCs w:val="24"/>
        </w:rPr>
        <w:t>Generate appropriate treatment options</w:t>
      </w:r>
      <w:r>
        <w:rPr>
          <w:rFonts w:asciiTheme="majorHAnsi" w:hAnsiTheme="majorHAnsi" w:cstheme="majorHAnsi"/>
          <w:szCs w:val="24"/>
        </w:rPr>
        <w:t xml:space="preserve"> including pharmacologic management</w:t>
      </w:r>
    </w:p>
    <w:p w14:paraId="014FFCCE" w14:textId="77777777" w:rsidR="001B4639" w:rsidRPr="009C4092" w:rsidRDefault="001B4639" w:rsidP="001B4639">
      <w:pPr>
        <w:pStyle w:val="ListParagraph"/>
        <w:numPr>
          <w:ilvl w:val="0"/>
          <w:numId w:val="7"/>
        </w:numPr>
        <w:rPr>
          <w:rFonts w:asciiTheme="majorHAnsi" w:hAnsiTheme="majorHAnsi" w:cstheme="majorHAnsi"/>
          <w:szCs w:val="24"/>
        </w:rPr>
      </w:pPr>
      <w:r w:rsidRPr="009C4092">
        <w:rPr>
          <w:rFonts w:asciiTheme="majorHAnsi" w:hAnsiTheme="majorHAnsi" w:cstheme="majorHAnsi"/>
          <w:szCs w:val="24"/>
        </w:rPr>
        <w:t>Evaluate oral lumps and bumps of the oral and head &amp; neck region</w:t>
      </w:r>
    </w:p>
    <w:p w14:paraId="74A222E1" w14:textId="77777777" w:rsidR="001B4639" w:rsidRPr="009C4092" w:rsidRDefault="001B4639" w:rsidP="001B4639">
      <w:pPr>
        <w:pStyle w:val="ListParagraph"/>
        <w:numPr>
          <w:ilvl w:val="0"/>
          <w:numId w:val="7"/>
        </w:numPr>
        <w:rPr>
          <w:rFonts w:asciiTheme="majorHAnsi" w:hAnsiTheme="majorHAnsi" w:cstheme="majorHAnsi"/>
          <w:szCs w:val="24"/>
        </w:rPr>
      </w:pPr>
      <w:r w:rsidRPr="009C4092">
        <w:rPr>
          <w:rFonts w:asciiTheme="majorHAnsi" w:hAnsiTheme="majorHAnsi" w:cstheme="majorHAnsi"/>
          <w:szCs w:val="24"/>
        </w:rPr>
        <w:t>Understand the etiology of exophytic oral lesions</w:t>
      </w:r>
    </w:p>
    <w:p w14:paraId="0B210CDA" w14:textId="77777777" w:rsidR="001B4639" w:rsidRDefault="001B4639" w:rsidP="001B4639">
      <w:pPr>
        <w:pStyle w:val="ListParagraph"/>
        <w:numPr>
          <w:ilvl w:val="0"/>
          <w:numId w:val="7"/>
        </w:numPr>
        <w:rPr>
          <w:rFonts w:asciiTheme="majorHAnsi" w:hAnsiTheme="majorHAnsi" w:cstheme="majorHAnsi"/>
          <w:szCs w:val="24"/>
        </w:rPr>
      </w:pPr>
      <w:r w:rsidRPr="009C4092">
        <w:rPr>
          <w:rFonts w:asciiTheme="majorHAnsi" w:hAnsiTheme="majorHAnsi" w:cstheme="majorHAnsi"/>
          <w:szCs w:val="24"/>
        </w:rPr>
        <w:t xml:space="preserve">Choose whether a </w:t>
      </w:r>
      <w:proofErr w:type="gramStart"/>
      <w:r w:rsidRPr="009C4092">
        <w:rPr>
          <w:rFonts w:asciiTheme="majorHAnsi" w:hAnsiTheme="majorHAnsi" w:cstheme="majorHAnsi"/>
          <w:szCs w:val="24"/>
        </w:rPr>
        <w:t>condition needs</w:t>
      </w:r>
      <w:proofErr w:type="gramEnd"/>
      <w:r w:rsidRPr="009C4092">
        <w:rPr>
          <w:rFonts w:asciiTheme="majorHAnsi" w:hAnsiTheme="majorHAnsi" w:cstheme="majorHAnsi"/>
          <w:szCs w:val="24"/>
        </w:rPr>
        <w:t xml:space="preserve"> monitored, biopsied, or referred</w:t>
      </w:r>
    </w:p>
    <w:p w14:paraId="0DF6B07C" w14:textId="77777777" w:rsidR="001B4639" w:rsidRDefault="001B4639" w:rsidP="001B4639">
      <w:pPr>
        <w:rPr>
          <w:rFonts w:asciiTheme="majorHAnsi" w:hAnsiTheme="majorHAnsi" w:cstheme="majorHAnsi"/>
          <w:szCs w:val="24"/>
        </w:rPr>
      </w:pPr>
    </w:p>
    <w:p w14:paraId="4BDD3BBE" w14:textId="77777777" w:rsidR="001B4639" w:rsidRPr="009C4092" w:rsidRDefault="001B4639" w:rsidP="001B4639">
      <w:pPr>
        <w:rPr>
          <w:rFonts w:asciiTheme="majorHAnsi" w:hAnsiTheme="majorHAnsi" w:cstheme="majorHAnsi"/>
          <w:szCs w:val="24"/>
        </w:rPr>
      </w:pPr>
    </w:p>
    <w:p w14:paraId="0149D8CB"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 xml:space="preserve">Title:  </w:t>
      </w:r>
      <w:r w:rsidRPr="009C4092">
        <w:rPr>
          <w:rFonts w:asciiTheme="majorHAnsi" w:hAnsiTheme="majorHAnsi" w:cstheme="majorHAnsi"/>
          <w:b/>
          <w:bCs/>
          <w:color w:val="000000" w:themeColor="text1"/>
          <w:szCs w:val="24"/>
        </w:rPr>
        <w:t xml:space="preserve">Pathology Lecture Series – Differential Diagnosis Part </w:t>
      </w:r>
      <w:r>
        <w:rPr>
          <w:rFonts w:asciiTheme="majorHAnsi" w:hAnsiTheme="majorHAnsi" w:cstheme="majorHAnsi"/>
          <w:b/>
          <w:bCs/>
          <w:color w:val="000000" w:themeColor="text1"/>
          <w:szCs w:val="24"/>
        </w:rPr>
        <w:t>3</w:t>
      </w:r>
      <w:r w:rsidRPr="009C4092">
        <w:rPr>
          <w:rFonts w:asciiTheme="majorHAnsi" w:hAnsiTheme="majorHAnsi" w:cstheme="majorHAnsi"/>
          <w:b/>
          <w:bCs/>
          <w:color w:val="000000" w:themeColor="text1"/>
          <w:szCs w:val="24"/>
        </w:rPr>
        <w:t>:  Radiographic Pathology &amp; Tooth Abnormalities</w:t>
      </w:r>
    </w:p>
    <w:p w14:paraId="090EA563" w14:textId="77777777" w:rsidR="001B4639" w:rsidRPr="009C4092" w:rsidRDefault="001B4639" w:rsidP="001B4639">
      <w:pPr>
        <w:rPr>
          <w:rFonts w:asciiTheme="majorHAnsi" w:hAnsiTheme="majorHAnsi" w:cstheme="majorHAnsi"/>
          <w:szCs w:val="24"/>
        </w:rPr>
      </w:pPr>
    </w:p>
    <w:p w14:paraId="11EB7EF1" w14:textId="77777777" w:rsidR="001B4639" w:rsidRPr="009C4092" w:rsidRDefault="001B4639" w:rsidP="001B4639">
      <w:pPr>
        <w:rPr>
          <w:rFonts w:asciiTheme="majorHAnsi" w:hAnsiTheme="majorHAnsi" w:cstheme="majorHAnsi"/>
          <w:szCs w:val="24"/>
        </w:rPr>
      </w:pPr>
      <w:r>
        <w:rPr>
          <w:rFonts w:asciiTheme="majorHAnsi" w:hAnsiTheme="majorHAnsi" w:cstheme="majorHAnsi"/>
          <w:szCs w:val="24"/>
        </w:rPr>
        <w:t>This 3</w:t>
      </w:r>
      <w:r w:rsidRPr="009C4092">
        <w:rPr>
          <w:rFonts w:asciiTheme="majorHAnsi" w:hAnsiTheme="majorHAnsi" w:cstheme="majorHAnsi"/>
          <w:szCs w:val="24"/>
          <w:vertAlign w:val="superscript"/>
        </w:rPr>
        <w:t>rd</w:t>
      </w:r>
      <w:r>
        <w:rPr>
          <w:rFonts w:asciiTheme="majorHAnsi" w:hAnsiTheme="majorHAnsi" w:cstheme="majorHAnsi"/>
          <w:szCs w:val="24"/>
        </w:rPr>
        <w:t xml:space="preserve"> installment of the Differential Diagnosis Series will focus on radiographic and tooth abnormalities (there is no need to have attended the earlier sessions).  “Reading” radiographs is essential to be able to distinguish which conditions can be ignored versus monitored or biopsied.  Oodles of clinical cases will be highlighted representing the gamut of developmental, reactive, and neoplastic bone and tooth pathologies.  </w:t>
      </w:r>
      <w:r w:rsidRPr="009C4092">
        <w:rPr>
          <w:rFonts w:asciiTheme="majorHAnsi" w:hAnsiTheme="majorHAnsi" w:cstheme="majorHAnsi"/>
          <w:szCs w:val="24"/>
        </w:rPr>
        <w:t xml:space="preserve">Put on your thinking caps on as your diagnostic abilities </w:t>
      </w:r>
      <w:r>
        <w:rPr>
          <w:rFonts w:asciiTheme="majorHAnsi" w:hAnsiTheme="majorHAnsi" w:cstheme="majorHAnsi"/>
          <w:szCs w:val="24"/>
        </w:rPr>
        <w:t>will</w:t>
      </w:r>
      <w:r w:rsidRPr="009C4092">
        <w:rPr>
          <w:rFonts w:asciiTheme="majorHAnsi" w:hAnsiTheme="majorHAnsi" w:cstheme="majorHAnsi"/>
          <w:szCs w:val="24"/>
        </w:rPr>
        <w:t xml:space="preserve"> be tested.  Real world cases will frame a discussion on the differential diagnosis process.  You’ll learn clinical tidbits on how to distinguish these oral conditions and pearls to manage your patients.</w:t>
      </w:r>
    </w:p>
    <w:p w14:paraId="12719678" w14:textId="77777777" w:rsidR="001B4639" w:rsidRPr="009C4092" w:rsidRDefault="001B4639" w:rsidP="001B4639">
      <w:pPr>
        <w:rPr>
          <w:rFonts w:asciiTheme="majorHAnsi" w:hAnsiTheme="majorHAnsi" w:cstheme="majorHAnsi"/>
          <w:szCs w:val="24"/>
        </w:rPr>
      </w:pPr>
    </w:p>
    <w:p w14:paraId="2AA62A30"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I.  Cases Highlighting the Differential Diagnosis Process</w:t>
      </w:r>
    </w:p>
    <w:p w14:paraId="43AD3231"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lastRenderedPageBreak/>
        <w:t>II.  Review of Cases &amp; Their Management</w:t>
      </w:r>
    </w:p>
    <w:p w14:paraId="666B4D37"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ab/>
        <w:t xml:space="preserve">A.  </w:t>
      </w:r>
      <w:r>
        <w:rPr>
          <w:rFonts w:asciiTheme="majorHAnsi" w:hAnsiTheme="majorHAnsi" w:cstheme="majorHAnsi"/>
          <w:szCs w:val="24"/>
        </w:rPr>
        <w:t>Radiolucent lesions: well-circumscribed</w:t>
      </w:r>
    </w:p>
    <w:p w14:paraId="3D7E1D2F"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ab/>
        <w:t xml:space="preserve">B.  </w:t>
      </w:r>
      <w:r>
        <w:rPr>
          <w:rFonts w:asciiTheme="majorHAnsi" w:hAnsiTheme="majorHAnsi" w:cstheme="majorHAnsi"/>
          <w:szCs w:val="24"/>
        </w:rPr>
        <w:t>Radiolucent lesions: poorly defined</w:t>
      </w:r>
    </w:p>
    <w:p w14:paraId="2A3264A0"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ab/>
        <w:t xml:space="preserve">B.  </w:t>
      </w:r>
      <w:r>
        <w:rPr>
          <w:rFonts w:asciiTheme="majorHAnsi" w:hAnsiTheme="majorHAnsi" w:cstheme="majorHAnsi"/>
          <w:szCs w:val="24"/>
        </w:rPr>
        <w:t>Radiopacities and mixed lesions</w:t>
      </w:r>
    </w:p>
    <w:p w14:paraId="6A4B0BB7"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ab/>
        <w:t xml:space="preserve">C.  </w:t>
      </w:r>
      <w:r>
        <w:rPr>
          <w:rFonts w:asciiTheme="majorHAnsi" w:hAnsiTheme="majorHAnsi" w:cstheme="majorHAnsi"/>
          <w:szCs w:val="24"/>
        </w:rPr>
        <w:t>Multifocal lesions</w:t>
      </w:r>
    </w:p>
    <w:p w14:paraId="5C0D5128" w14:textId="77777777" w:rsidR="001B4639" w:rsidRDefault="001B4639" w:rsidP="001B4639">
      <w:pPr>
        <w:rPr>
          <w:rFonts w:asciiTheme="majorHAnsi" w:hAnsiTheme="majorHAnsi" w:cstheme="majorHAnsi"/>
          <w:szCs w:val="24"/>
        </w:rPr>
      </w:pPr>
      <w:r w:rsidRPr="009C4092">
        <w:rPr>
          <w:rFonts w:asciiTheme="majorHAnsi" w:hAnsiTheme="majorHAnsi" w:cstheme="majorHAnsi"/>
          <w:szCs w:val="24"/>
        </w:rPr>
        <w:tab/>
        <w:t xml:space="preserve">D.  </w:t>
      </w:r>
      <w:r>
        <w:rPr>
          <w:rFonts w:asciiTheme="majorHAnsi" w:hAnsiTheme="majorHAnsi" w:cstheme="majorHAnsi"/>
          <w:szCs w:val="24"/>
        </w:rPr>
        <w:t>Soft tissue radiopacities</w:t>
      </w:r>
    </w:p>
    <w:p w14:paraId="05EF5808" w14:textId="77777777" w:rsidR="001B4639" w:rsidRPr="009C4092" w:rsidRDefault="001B4639" w:rsidP="001B4639">
      <w:pPr>
        <w:rPr>
          <w:rFonts w:asciiTheme="majorHAnsi" w:hAnsiTheme="majorHAnsi" w:cstheme="majorHAnsi"/>
          <w:szCs w:val="24"/>
        </w:rPr>
      </w:pPr>
      <w:r>
        <w:rPr>
          <w:rFonts w:asciiTheme="majorHAnsi" w:hAnsiTheme="majorHAnsi" w:cstheme="majorHAnsi"/>
          <w:szCs w:val="24"/>
        </w:rPr>
        <w:tab/>
        <w:t>E.  Tooth abnormalities</w:t>
      </w:r>
    </w:p>
    <w:p w14:paraId="4A10DEFB" w14:textId="77777777" w:rsidR="001B4639" w:rsidRPr="009C4092" w:rsidRDefault="001B4639" w:rsidP="001B4639">
      <w:pPr>
        <w:rPr>
          <w:rFonts w:asciiTheme="majorHAnsi" w:hAnsiTheme="majorHAnsi" w:cstheme="majorHAnsi"/>
          <w:szCs w:val="24"/>
        </w:rPr>
      </w:pPr>
    </w:p>
    <w:p w14:paraId="0447263E" w14:textId="77777777" w:rsidR="001B4639" w:rsidRPr="009C4092" w:rsidRDefault="001B4639" w:rsidP="001B4639">
      <w:pPr>
        <w:rPr>
          <w:rFonts w:asciiTheme="majorHAnsi" w:hAnsiTheme="majorHAnsi" w:cstheme="majorHAnsi"/>
          <w:szCs w:val="24"/>
        </w:rPr>
      </w:pPr>
      <w:r w:rsidRPr="009C4092">
        <w:rPr>
          <w:rFonts w:asciiTheme="majorHAnsi" w:hAnsiTheme="majorHAnsi" w:cstheme="majorHAnsi"/>
          <w:szCs w:val="24"/>
        </w:rPr>
        <w:t>Course objectives:</w:t>
      </w:r>
    </w:p>
    <w:p w14:paraId="3892D0F2" w14:textId="77777777" w:rsidR="001B4639" w:rsidRDefault="001B4639" w:rsidP="001B4639">
      <w:pPr>
        <w:pStyle w:val="ListParagraph"/>
        <w:numPr>
          <w:ilvl w:val="0"/>
          <w:numId w:val="8"/>
        </w:numPr>
        <w:rPr>
          <w:rFonts w:asciiTheme="majorHAnsi" w:hAnsiTheme="majorHAnsi" w:cstheme="majorHAnsi"/>
          <w:szCs w:val="24"/>
        </w:rPr>
      </w:pPr>
      <w:r w:rsidRPr="009C4092">
        <w:rPr>
          <w:rFonts w:asciiTheme="majorHAnsi" w:hAnsiTheme="majorHAnsi" w:cstheme="majorHAnsi"/>
          <w:szCs w:val="24"/>
        </w:rPr>
        <w:t>Understand the differential diagnosis process</w:t>
      </w:r>
    </w:p>
    <w:p w14:paraId="7366A522" w14:textId="77777777" w:rsidR="001B4639" w:rsidRPr="009C4092" w:rsidRDefault="001B4639" w:rsidP="001B4639">
      <w:pPr>
        <w:pStyle w:val="ListParagraph"/>
        <w:numPr>
          <w:ilvl w:val="0"/>
          <w:numId w:val="8"/>
        </w:numPr>
        <w:rPr>
          <w:rFonts w:asciiTheme="majorHAnsi" w:hAnsiTheme="majorHAnsi" w:cstheme="majorHAnsi"/>
          <w:szCs w:val="24"/>
        </w:rPr>
      </w:pPr>
      <w:r>
        <w:rPr>
          <w:rFonts w:asciiTheme="majorHAnsi" w:hAnsiTheme="majorHAnsi" w:cstheme="majorHAnsi"/>
          <w:szCs w:val="24"/>
        </w:rPr>
        <w:t>Categorize bony lesions by clinical presentation</w:t>
      </w:r>
    </w:p>
    <w:p w14:paraId="43DA05A8" w14:textId="77777777" w:rsidR="001B4639" w:rsidRPr="009C4092" w:rsidRDefault="001B4639" w:rsidP="001B4639">
      <w:pPr>
        <w:pStyle w:val="ListParagraph"/>
        <w:numPr>
          <w:ilvl w:val="0"/>
          <w:numId w:val="8"/>
        </w:numPr>
        <w:rPr>
          <w:rFonts w:asciiTheme="majorHAnsi" w:hAnsiTheme="majorHAnsi" w:cstheme="majorHAnsi"/>
          <w:szCs w:val="24"/>
        </w:rPr>
      </w:pPr>
      <w:r w:rsidRPr="009C4092">
        <w:rPr>
          <w:rFonts w:asciiTheme="majorHAnsi" w:hAnsiTheme="majorHAnsi" w:cstheme="majorHAnsi"/>
          <w:szCs w:val="24"/>
        </w:rPr>
        <w:t xml:space="preserve">Develop differential diagnoses of </w:t>
      </w:r>
      <w:r>
        <w:rPr>
          <w:rFonts w:asciiTheme="majorHAnsi" w:hAnsiTheme="majorHAnsi" w:cstheme="majorHAnsi"/>
          <w:szCs w:val="24"/>
        </w:rPr>
        <w:t>bony</w:t>
      </w:r>
      <w:r w:rsidRPr="009C4092">
        <w:rPr>
          <w:rFonts w:asciiTheme="majorHAnsi" w:hAnsiTheme="majorHAnsi" w:cstheme="majorHAnsi"/>
          <w:szCs w:val="24"/>
        </w:rPr>
        <w:t xml:space="preserve"> conditions</w:t>
      </w:r>
    </w:p>
    <w:p w14:paraId="1E17E50F" w14:textId="77777777" w:rsidR="001B4639" w:rsidRPr="009C4092" w:rsidRDefault="001B4639" w:rsidP="001B4639">
      <w:pPr>
        <w:pStyle w:val="ListParagraph"/>
        <w:numPr>
          <w:ilvl w:val="0"/>
          <w:numId w:val="8"/>
        </w:numPr>
        <w:rPr>
          <w:rFonts w:asciiTheme="majorHAnsi" w:hAnsiTheme="majorHAnsi" w:cstheme="majorHAnsi"/>
          <w:szCs w:val="24"/>
        </w:rPr>
      </w:pPr>
      <w:r w:rsidRPr="009C4092">
        <w:rPr>
          <w:rFonts w:asciiTheme="majorHAnsi" w:hAnsiTheme="majorHAnsi" w:cstheme="majorHAnsi"/>
          <w:szCs w:val="24"/>
        </w:rPr>
        <w:t>Generate an appropriate plan for radiographic pathology follow-up and/or intervention</w:t>
      </w:r>
    </w:p>
    <w:p w14:paraId="15BB40ED" w14:textId="77777777" w:rsidR="001B4639" w:rsidRDefault="001B4639" w:rsidP="001B4639">
      <w:pPr>
        <w:pStyle w:val="ListParagraph"/>
        <w:numPr>
          <w:ilvl w:val="0"/>
          <w:numId w:val="8"/>
        </w:numPr>
        <w:rPr>
          <w:rFonts w:asciiTheme="majorHAnsi" w:hAnsiTheme="majorHAnsi" w:cstheme="majorHAnsi"/>
          <w:szCs w:val="24"/>
        </w:rPr>
      </w:pPr>
      <w:r w:rsidRPr="009C4092">
        <w:rPr>
          <w:rFonts w:asciiTheme="majorHAnsi" w:hAnsiTheme="majorHAnsi" w:cstheme="majorHAnsi"/>
          <w:szCs w:val="24"/>
        </w:rPr>
        <w:t xml:space="preserve">Choose whether a </w:t>
      </w:r>
      <w:proofErr w:type="gramStart"/>
      <w:r w:rsidRPr="009C4092">
        <w:rPr>
          <w:rFonts w:asciiTheme="majorHAnsi" w:hAnsiTheme="majorHAnsi" w:cstheme="majorHAnsi"/>
          <w:szCs w:val="24"/>
        </w:rPr>
        <w:t>condition needs</w:t>
      </w:r>
      <w:proofErr w:type="gramEnd"/>
      <w:r w:rsidRPr="009C4092">
        <w:rPr>
          <w:rFonts w:asciiTheme="majorHAnsi" w:hAnsiTheme="majorHAnsi" w:cstheme="majorHAnsi"/>
          <w:szCs w:val="24"/>
        </w:rPr>
        <w:t xml:space="preserve"> monitored, biopsied, or referred</w:t>
      </w:r>
    </w:p>
    <w:p w14:paraId="4BB67AB8" w14:textId="77777777" w:rsidR="001B4639" w:rsidRDefault="001B4639" w:rsidP="001B4639">
      <w:pPr>
        <w:pStyle w:val="ListParagraph"/>
        <w:numPr>
          <w:ilvl w:val="0"/>
          <w:numId w:val="8"/>
        </w:numPr>
        <w:rPr>
          <w:rFonts w:asciiTheme="majorHAnsi" w:hAnsiTheme="majorHAnsi" w:cstheme="majorHAnsi"/>
          <w:szCs w:val="24"/>
        </w:rPr>
      </w:pPr>
      <w:r>
        <w:rPr>
          <w:rFonts w:asciiTheme="majorHAnsi" w:hAnsiTheme="majorHAnsi" w:cstheme="majorHAnsi"/>
          <w:szCs w:val="24"/>
        </w:rPr>
        <w:t>Recognize and manage developmental tooth abnormalities</w:t>
      </w:r>
    </w:p>
    <w:p w14:paraId="328ECEA5" w14:textId="77777777" w:rsidR="001B4639" w:rsidRPr="00073001" w:rsidRDefault="001B4639" w:rsidP="001B4639">
      <w:pPr>
        <w:pStyle w:val="ListParagraph"/>
        <w:numPr>
          <w:ilvl w:val="0"/>
          <w:numId w:val="8"/>
        </w:numPr>
        <w:rPr>
          <w:rFonts w:asciiTheme="majorHAnsi" w:hAnsiTheme="majorHAnsi" w:cstheme="majorHAnsi"/>
          <w:szCs w:val="24"/>
        </w:rPr>
      </w:pPr>
      <w:r>
        <w:rPr>
          <w:rFonts w:asciiTheme="majorHAnsi" w:hAnsiTheme="majorHAnsi" w:cstheme="majorHAnsi"/>
          <w:szCs w:val="24"/>
        </w:rPr>
        <w:t>Determine tooth changes which need immediate intervention</w:t>
      </w:r>
    </w:p>
    <w:p w14:paraId="314E948E" w14:textId="77777777" w:rsidR="001B4639" w:rsidRPr="001B4639" w:rsidRDefault="001B4639" w:rsidP="003504B3">
      <w:pPr>
        <w:rPr>
          <w:rFonts w:asciiTheme="majorHAnsi" w:hAnsiTheme="majorHAnsi" w:cstheme="majorHAnsi"/>
          <w:szCs w:val="24"/>
        </w:rPr>
      </w:pPr>
    </w:p>
    <w:p w14:paraId="0132E83D" w14:textId="77777777" w:rsidR="001B4639" w:rsidRPr="001B4639" w:rsidRDefault="001B4639" w:rsidP="003504B3">
      <w:pPr>
        <w:rPr>
          <w:rFonts w:asciiTheme="majorHAnsi" w:hAnsiTheme="majorHAnsi" w:cstheme="majorHAnsi"/>
          <w:szCs w:val="24"/>
        </w:rPr>
      </w:pPr>
    </w:p>
    <w:p w14:paraId="4B3BFE3A" w14:textId="39D13732" w:rsidR="001B4639" w:rsidRPr="001B4639" w:rsidRDefault="001B4639" w:rsidP="001B4639">
      <w:pPr>
        <w:rPr>
          <w:rFonts w:asciiTheme="majorHAnsi" w:hAnsiTheme="majorHAnsi" w:cstheme="majorHAnsi"/>
          <w:szCs w:val="24"/>
        </w:rPr>
      </w:pPr>
      <w:r w:rsidRPr="001B4639">
        <w:rPr>
          <w:rFonts w:asciiTheme="majorHAnsi" w:hAnsiTheme="majorHAnsi" w:cstheme="majorHAnsi"/>
          <w:bCs/>
          <w:szCs w:val="24"/>
        </w:rPr>
        <w:t>Title:</w:t>
      </w:r>
      <w:r w:rsidRPr="001B4639">
        <w:rPr>
          <w:rFonts w:asciiTheme="majorHAnsi" w:hAnsiTheme="majorHAnsi" w:cstheme="majorHAnsi"/>
          <w:szCs w:val="24"/>
        </w:rPr>
        <w:t xml:space="preserve">  </w:t>
      </w:r>
      <w:r w:rsidRPr="001B4639">
        <w:rPr>
          <w:rFonts w:asciiTheme="majorHAnsi" w:hAnsiTheme="majorHAnsi" w:cstheme="majorHAnsi"/>
          <w:b/>
          <w:bCs/>
          <w:szCs w:val="24"/>
        </w:rPr>
        <w:t>Forensic Dentistry</w:t>
      </w:r>
    </w:p>
    <w:p w14:paraId="5794DF5F" w14:textId="77777777" w:rsidR="001B4639" w:rsidRPr="001B4639" w:rsidRDefault="001B4639" w:rsidP="001B4639">
      <w:pPr>
        <w:rPr>
          <w:rFonts w:asciiTheme="majorHAnsi" w:hAnsiTheme="majorHAnsi" w:cstheme="majorHAnsi"/>
          <w:i/>
          <w:szCs w:val="24"/>
        </w:rPr>
      </w:pPr>
    </w:p>
    <w:p w14:paraId="05D56DB8" w14:textId="3890711E" w:rsidR="001B4639" w:rsidRPr="001B4639" w:rsidRDefault="001B4639" w:rsidP="001B4639">
      <w:pPr>
        <w:rPr>
          <w:rFonts w:asciiTheme="majorHAnsi" w:hAnsiTheme="majorHAnsi" w:cstheme="majorHAnsi"/>
          <w:szCs w:val="24"/>
        </w:rPr>
      </w:pPr>
      <w:r w:rsidRPr="001B4639">
        <w:rPr>
          <w:rFonts w:asciiTheme="majorHAnsi" w:hAnsiTheme="majorHAnsi" w:cstheme="majorHAnsi"/>
          <w:szCs w:val="24"/>
        </w:rPr>
        <w:t xml:space="preserve">Dental professionals can be asked to provide an important component in identifying accident and crime victims.  The process of the identification of human remains will feature real crime stories.  </w:t>
      </w:r>
    </w:p>
    <w:p w14:paraId="6789CD04" w14:textId="77777777" w:rsidR="001B4639" w:rsidRDefault="001B4639" w:rsidP="001B4639">
      <w:pPr>
        <w:rPr>
          <w:rFonts w:asciiTheme="majorHAnsi" w:hAnsiTheme="majorHAnsi" w:cstheme="majorHAnsi"/>
          <w:szCs w:val="24"/>
        </w:rPr>
      </w:pPr>
    </w:p>
    <w:p w14:paraId="74124FDD" w14:textId="703BE3D0" w:rsidR="001B4639" w:rsidRPr="001B4639" w:rsidRDefault="001B4639" w:rsidP="001B4639">
      <w:pPr>
        <w:pStyle w:val="ListParagraph"/>
        <w:numPr>
          <w:ilvl w:val="0"/>
          <w:numId w:val="11"/>
        </w:numPr>
        <w:tabs>
          <w:tab w:val="left" w:pos="360"/>
        </w:tabs>
        <w:rPr>
          <w:rFonts w:asciiTheme="majorHAnsi" w:hAnsiTheme="majorHAnsi" w:cstheme="majorHAnsi"/>
          <w:szCs w:val="24"/>
        </w:rPr>
      </w:pPr>
      <w:r w:rsidRPr="001B4639">
        <w:rPr>
          <w:rFonts w:asciiTheme="majorHAnsi" w:hAnsiTheme="majorHAnsi" w:cstheme="majorHAnsi"/>
          <w:szCs w:val="24"/>
        </w:rPr>
        <w:t>Uses of odontology in forensics</w:t>
      </w:r>
    </w:p>
    <w:p w14:paraId="7D8ECEDD" w14:textId="449F98B9" w:rsidR="001B4639" w:rsidRPr="001B4639" w:rsidRDefault="001B4639" w:rsidP="001B4639">
      <w:pPr>
        <w:pStyle w:val="ListParagraph"/>
        <w:numPr>
          <w:ilvl w:val="0"/>
          <w:numId w:val="11"/>
        </w:numPr>
        <w:tabs>
          <w:tab w:val="left" w:pos="360"/>
        </w:tabs>
        <w:rPr>
          <w:rFonts w:asciiTheme="majorHAnsi" w:hAnsiTheme="majorHAnsi" w:cstheme="majorHAnsi"/>
          <w:szCs w:val="24"/>
        </w:rPr>
      </w:pPr>
      <w:r w:rsidRPr="001B4639">
        <w:rPr>
          <w:rFonts w:asciiTheme="majorHAnsi" w:hAnsiTheme="majorHAnsi" w:cstheme="majorHAnsi"/>
          <w:szCs w:val="24"/>
        </w:rPr>
        <w:t>Methods to identify remains</w:t>
      </w:r>
    </w:p>
    <w:p w14:paraId="6AA2DE9B" w14:textId="39B2DC48" w:rsidR="001B4639" w:rsidRPr="001B4639" w:rsidRDefault="001B4639" w:rsidP="001B4639">
      <w:pPr>
        <w:pStyle w:val="ListParagraph"/>
        <w:numPr>
          <w:ilvl w:val="0"/>
          <w:numId w:val="11"/>
        </w:numPr>
        <w:tabs>
          <w:tab w:val="left" w:pos="360"/>
        </w:tabs>
        <w:rPr>
          <w:rFonts w:asciiTheme="majorHAnsi" w:hAnsiTheme="majorHAnsi" w:cstheme="majorHAnsi"/>
          <w:szCs w:val="24"/>
        </w:rPr>
      </w:pPr>
      <w:r w:rsidRPr="001B4639">
        <w:rPr>
          <w:rFonts w:asciiTheme="majorHAnsi" w:hAnsiTheme="majorHAnsi" w:cstheme="majorHAnsi"/>
          <w:szCs w:val="24"/>
        </w:rPr>
        <w:t>Dental identification process</w:t>
      </w:r>
    </w:p>
    <w:p w14:paraId="0542D6ED" w14:textId="1DB97F4A" w:rsidR="001B4639" w:rsidRDefault="001B4639" w:rsidP="001B4639">
      <w:pPr>
        <w:pStyle w:val="ListParagraph"/>
        <w:numPr>
          <w:ilvl w:val="0"/>
          <w:numId w:val="11"/>
        </w:numPr>
        <w:tabs>
          <w:tab w:val="left" w:pos="360"/>
        </w:tabs>
        <w:rPr>
          <w:rFonts w:asciiTheme="majorHAnsi" w:hAnsiTheme="majorHAnsi" w:cstheme="majorHAnsi"/>
          <w:szCs w:val="24"/>
        </w:rPr>
      </w:pPr>
      <w:r w:rsidRPr="001B4639">
        <w:rPr>
          <w:rFonts w:asciiTheme="majorHAnsi" w:hAnsiTheme="majorHAnsi" w:cstheme="majorHAnsi"/>
          <w:szCs w:val="24"/>
        </w:rPr>
        <w:t>Examples of cases</w:t>
      </w:r>
    </w:p>
    <w:p w14:paraId="2F97F45C" w14:textId="04D98E51" w:rsidR="001B4639" w:rsidRPr="001B4639" w:rsidRDefault="001B4639" w:rsidP="001B4639">
      <w:pPr>
        <w:pStyle w:val="ListParagraph"/>
        <w:numPr>
          <w:ilvl w:val="0"/>
          <w:numId w:val="11"/>
        </w:numPr>
        <w:tabs>
          <w:tab w:val="left" w:pos="360"/>
        </w:tabs>
        <w:rPr>
          <w:rFonts w:asciiTheme="majorHAnsi" w:hAnsiTheme="majorHAnsi" w:cstheme="majorHAnsi"/>
          <w:szCs w:val="24"/>
        </w:rPr>
      </w:pPr>
      <w:r>
        <w:rPr>
          <w:rFonts w:asciiTheme="majorHAnsi" w:hAnsiTheme="majorHAnsi" w:cstheme="majorHAnsi"/>
          <w:szCs w:val="24"/>
        </w:rPr>
        <w:t>Mass disasters</w:t>
      </w:r>
    </w:p>
    <w:p w14:paraId="6969A17A" w14:textId="77777777" w:rsidR="001B4639" w:rsidRPr="001B4639" w:rsidRDefault="001B4639" w:rsidP="001B4639">
      <w:pPr>
        <w:rPr>
          <w:rFonts w:asciiTheme="majorHAnsi" w:hAnsiTheme="majorHAnsi" w:cstheme="majorHAnsi"/>
          <w:szCs w:val="24"/>
        </w:rPr>
      </w:pPr>
    </w:p>
    <w:p w14:paraId="69C2FA22" w14:textId="5E247B06" w:rsidR="001B4639" w:rsidRPr="001B4639" w:rsidRDefault="001B4639" w:rsidP="001B4639">
      <w:pPr>
        <w:rPr>
          <w:rFonts w:asciiTheme="majorHAnsi" w:hAnsiTheme="majorHAnsi" w:cstheme="majorHAnsi"/>
          <w:bCs/>
          <w:szCs w:val="24"/>
        </w:rPr>
      </w:pPr>
      <w:r w:rsidRPr="001B4639">
        <w:rPr>
          <w:rFonts w:asciiTheme="majorHAnsi" w:hAnsiTheme="majorHAnsi" w:cstheme="majorHAnsi"/>
          <w:bCs/>
          <w:szCs w:val="24"/>
        </w:rPr>
        <w:t xml:space="preserve">Course </w:t>
      </w:r>
      <w:r w:rsidRPr="001B4639">
        <w:rPr>
          <w:rFonts w:asciiTheme="majorHAnsi" w:hAnsiTheme="majorHAnsi" w:cstheme="majorHAnsi"/>
          <w:bCs/>
          <w:szCs w:val="24"/>
        </w:rPr>
        <w:t>objectives:</w:t>
      </w:r>
    </w:p>
    <w:p w14:paraId="7802E9A7" w14:textId="77777777" w:rsidR="001B4639" w:rsidRDefault="001B4639" w:rsidP="001B4639">
      <w:pPr>
        <w:pStyle w:val="ListParagraph"/>
        <w:numPr>
          <w:ilvl w:val="0"/>
          <w:numId w:val="10"/>
        </w:numPr>
        <w:rPr>
          <w:rFonts w:asciiTheme="majorHAnsi" w:hAnsiTheme="majorHAnsi" w:cstheme="majorHAnsi"/>
          <w:szCs w:val="24"/>
        </w:rPr>
      </w:pPr>
      <w:r w:rsidRPr="001B4639">
        <w:rPr>
          <w:rFonts w:asciiTheme="majorHAnsi" w:hAnsiTheme="majorHAnsi" w:cstheme="majorHAnsi"/>
          <w:szCs w:val="24"/>
        </w:rPr>
        <w:t>Understand the methods of human identification</w:t>
      </w:r>
    </w:p>
    <w:p w14:paraId="4E760111" w14:textId="0F4DD7FD" w:rsidR="001B4639" w:rsidRPr="001B4639" w:rsidRDefault="001B4639" w:rsidP="001B4639">
      <w:pPr>
        <w:pStyle w:val="ListParagraph"/>
        <w:numPr>
          <w:ilvl w:val="0"/>
          <w:numId w:val="10"/>
        </w:numPr>
        <w:rPr>
          <w:rFonts w:asciiTheme="majorHAnsi" w:hAnsiTheme="majorHAnsi" w:cstheme="majorHAnsi"/>
          <w:szCs w:val="24"/>
        </w:rPr>
      </w:pPr>
      <w:r>
        <w:rPr>
          <w:rFonts w:asciiTheme="majorHAnsi" w:hAnsiTheme="majorHAnsi" w:cstheme="majorHAnsi"/>
          <w:szCs w:val="24"/>
        </w:rPr>
        <w:t>Utilize medicolegal documentation</w:t>
      </w:r>
    </w:p>
    <w:p w14:paraId="22CA9CD0" w14:textId="77777777" w:rsidR="001B4639" w:rsidRPr="001B4639" w:rsidRDefault="001B4639" w:rsidP="001B4639">
      <w:pPr>
        <w:pStyle w:val="ListParagraph"/>
        <w:numPr>
          <w:ilvl w:val="0"/>
          <w:numId w:val="10"/>
        </w:numPr>
        <w:rPr>
          <w:rFonts w:asciiTheme="majorHAnsi" w:hAnsiTheme="majorHAnsi" w:cstheme="majorHAnsi"/>
          <w:szCs w:val="24"/>
        </w:rPr>
      </w:pPr>
      <w:r w:rsidRPr="001B4639">
        <w:rPr>
          <w:rFonts w:asciiTheme="majorHAnsi" w:hAnsiTheme="majorHAnsi" w:cstheme="majorHAnsi"/>
          <w:szCs w:val="24"/>
        </w:rPr>
        <w:t>Apply the dental identification process</w:t>
      </w:r>
    </w:p>
    <w:p w14:paraId="4D6F8B33" w14:textId="77777777" w:rsidR="001B4639" w:rsidRPr="007740C3" w:rsidRDefault="001B4639" w:rsidP="003504B3">
      <w:pPr>
        <w:rPr>
          <w:rFonts w:asciiTheme="majorHAnsi" w:hAnsiTheme="majorHAnsi" w:cstheme="majorHAnsi"/>
          <w:sz w:val="22"/>
          <w:szCs w:val="22"/>
        </w:rPr>
      </w:pPr>
    </w:p>
    <w:sectPr w:rsidR="001B4639" w:rsidRPr="007740C3" w:rsidSect="002D28C0">
      <w:pgSz w:w="12240" w:h="15840"/>
      <w:pgMar w:top="1008"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2271A"/>
    <w:multiLevelType w:val="hybridMultilevel"/>
    <w:tmpl w:val="899C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4188"/>
    <w:multiLevelType w:val="hybridMultilevel"/>
    <w:tmpl w:val="6B46BE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9778C"/>
    <w:multiLevelType w:val="hybridMultilevel"/>
    <w:tmpl w:val="A5089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737C7"/>
    <w:multiLevelType w:val="hybridMultilevel"/>
    <w:tmpl w:val="128E11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00C98"/>
    <w:multiLevelType w:val="hybridMultilevel"/>
    <w:tmpl w:val="8572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3A5A0C"/>
    <w:multiLevelType w:val="hybridMultilevel"/>
    <w:tmpl w:val="A5089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57DBA"/>
    <w:multiLevelType w:val="hybridMultilevel"/>
    <w:tmpl w:val="1394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71D3D"/>
    <w:multiLevelType w:val="hybridMultilevel"/>
    <w:tmpl w:val="C250F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C0BEE"/>
    <w:multiLevelType w:val="hybridMultilevel"/>
    <w:tmpl w:val="A5089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FE652D"/>
    <w:multiLevelType w:val="hybridMultilevel"/>
    <w:tmpl w:val="4C3025A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AD80A95"/>
    <w:multiLevelType w:val="hybridMultilevel"/>
    <w:tmpl w:val="A5089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083286">
    <w:abstractNumId w:val="0"/>
  </w:num>
  <w:num w:numId="2" w16cid:durableId="165631408">
    <w:abstractNumId w:val="8"/>
  </w:num>
  <w:num w:numId="3" w16cid:durableId="835804518">
    <w:abstractNumId w:val="10"/>
  </w:num>
  <w:num w:numId="4" w16cid:durableId="48305435">
    <w:abstractNumId w:val="7"/>
  </w:num>
  <w:num w:numId="5" w16cid:durableId="94524736">
    <w:abstractNumId w:val="1"/>
  </w:num>
  <w:num w:numId="6" w16cid:durableId="832572555">
    <w:abstractNumId w:val="6"/>
  </w:num>
  <w:num w:numId="7" w16cid:durableId="288704008">
    <w:abstractNumId w:val="2"/>
  </w:num>
  <w:num w:numId="8" w16cid:durableId="1624725530">
    <w:abstractNumId w:val="5"/>
  </w:num>
  <w:num w:numId="9" w16cid:durableId="439224170">
    <w:abstractNumId w:val="4"/>
  </w:num>
  <w:num w:numId="10" w16cid:durableId="803736260">
    <w:abstractNumId w:val="9"/>
  </w:num>
  <w:num w:numId="11" w16cid:durableId="1293442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61"/>
    <w:rsid w:val="0002296B"/>
    <w:rsid w:val="0004113E"/>
    <w:rsid w:val="00042E7A"/>
    <w:rsid w:val="00043684"/>
    <w:rsid w:val="001223C3"/>
    <w:rsid w:val="00150A1B"/>
    <w:rsid w:val="001B4639"/>
    <w:rsid w:val="002D28C0"/>
    <w:rsid w:val="00304D00"/>
    <w:rsid w:val="003504B3"/>
    <w:rsid w:val="00456EAB"/>
    <w:rsid w:val="004E77F4"/>
    <w:rsid w:val="005379D7"/>
    <w:rsid w:val="005E7C85"/>
    <w:rsid w:val="007568E3"/>
    <w:rsid w:val="007628BF"/>
    <w:rsid w:val="007740C3"/>
    <w:rsid w:val="008300C5"/>
    <w:rsid w:val="008364FA"/>
    <w:rsid w:val="008372B6"/>
    <w:rsid w:val="00846FAC"/>
    <w:rsid w:val="008514D3"/>
    <w:rsid w:val="0089508A"/>
    <w:rsid w:val="008A6A6F"/>
    <w:rsid w:val="008F0F36"/>
    <w:rsid w:val="00951AF0"/>
    <w:rsid w:val="00953210"/>
    <w:rsid w:val="00970131"/>
    <w:rsid w:val="00A44231"/>
    <w:rsid w:val="00A773DE"/>
    <w:rsid w:val="00B2600E"/>
    <w:rsid w:val="00B55174"/>
    <w:rsid w:val="00B848A3"/>
    <w:rsid w:val="00BE413B"/>
    <w:rsid w:val="00BF5761"/>
    <w:rsid w:val="00C107A7"/>
    <w:rsid w:val="00C524FD"/>
    <w:rsid w:val="00CB5AC0"/>
    <w:rsid w:val="00CE2453"/>
    <w:rsid w:val="00CF48F1"/>
    <w:rsid w:val="00D66423"/>
    <w:rsid w:val="00DE4083"/>
    <w:rsid w:val="00E418F2"/>
    <w:rsid w:val="00EB6375"/>
    <w:rsid w:val="00ED2CA5"/>
    <w:rsid w:val="00F378CE"/>
    <w:rsid w:val="00F50597"/>
    <w:rsid w:val="00FE1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5CDC42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043684"/>
    <w:pPr>
      <w:widowControl w:val="0"/>
      <w:autoSpaceDE w:val="0"/>
      <w:autoSpaceDN w:val="0"/>
      <w:adjustRightInd w:val="0"/>
      <w:jc w:val="center"/>
      <w:outlineLvl w:val="0"/>
    </w:pPr>
    <w:rPr>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D28C0"/>
    <w:pPr>
      <w:spacing w:after="120"/>
    </w:pPr>
  </w:style>
  <w:style w:type="character" w:customStyle="1" w:styleId="BodyTextChar">
    <w:name w:val="Body Text Char"/>
    <w:link w:val="BodyText"/>
    <w:uiPriority w:val="99"/>
    <w:semiHidden/>
    <w:rsid w:val="002D28C0"/>
    <w:rPr>
      <w:sz w:val="24"/>
    </w:rPr>
  </w:style>
  <w:style w:type="character" w:customStyle="1" w:styleId="Heading1Char">
    <w:name w:val="Heading 1 Char"/>
    <w:basedOn w:val="DefaultParagraphFont"/>
    <w:link w:val="Heading1"/>
    <w:rsid w:val="00043684"/>
    <w:rPr>
      <w:color w:val="000000"/>
      <w:sz w:val="44"/>
    </w:rPr>
  </w:style>
  <w:style w:type="paragraph" w:styleId="ListParagraph">
    <w:name w:val="List Paragraph"/>
    <w:basedOn w:val="Normal"/>
    <w:uiPriority w:val="34"/>
    <w:qFormat/>
    <w:rsid w:val="008F0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70521">
      <w:bodyDiv w:val="1"/>
      <w:marLeft w:val="0"/>
      <w:marRight w:val="0"/>
      <w:marTop w:val="0"/>
      <w:marBottom w:val="0"/>
      <w:divBdr>
        <w:top w:val="none" w:sz="0" w:space="0" w:color="auto"/>
        <w:left w:val="none" w:sz="0" w:space="0" w:color="auto"/>
        <w:bottom w:val="none" w:sz="0" w:space="0" w:color="auto"/>
        <w:right w:val="none" w:sz="0" w:space="0" w:color="auto"/>
      </w:divBdr>
    </w:div>
    <w:div w:id="437145615">
      <w:bodyDiv w:val="1"/>
      <w:marLeft w:val="0"/>
      <w:marRight w:val="0"/>
      <w:marTop w:val="0"/>
      <w:marBottom w:val="0"/>
      <w:divBdr>
        <w:top w:val="none" w:sz="0" w:space="0" w:color="auto"/>
        <w:left w:val="none" w:sz="0" w:space="0" w:color="auto"/>
        <w:bottom w:val="none" w:sz="0" w:space="0" w:color="auto"/>
        <w:right w:val="none" w:sz="0" w:space="0" w:color="auto"/>
      </w:divBdr>
    </w:div>
    <w:div w:id="1735158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972</Words>
  <Characters>5546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Hygiene Weekend</vt:lpstr>
    </vt:vector>
  </TitlesOfParts>
  <Company>UAB SOD</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Hygiene Weekend</dc:title>
  <dc:subject/>
  <dc:creator>Ken Tilashalski</dc:creator>
  <cp:keywords/>
  <cp:lastModifiedBy>Tilashalski, Ken</cp:lastModifiedBy>
  <cp:revision>2</cp:revision>
  <cp:lastPrinted>2015-01-28T15:01:00Z</cp:lastPrinted>
  <dcterms:created xsi:type="dcterms:W3CDTF">2024-11-27T15:39:00Z</dcterms:created>
  <dcterms:modified xsi:type="dcterms:W3CDTF">2024-11-27T15:39:00Z</dcterms:modified>
</cp:coreProperties>
</file>