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A2043" w14:textId="11EEC0E5" w:rsidR="00AE0ADA" w:rsidRPr="00BD303F" w:rsidRDefault="00AE0ADA" w:rsidP="00AE0ADA">
      <w:pPr>
        <w:jc w:val="center"/>
        <w:rPr>
          <w:rFonts w:ascii="Tahoma" w:hAnsi="Tahoma" w:cstheme="majorHAnsi"/>
        </w:rPr>
      </w:pPr>
      <w:r w:rsidRPr="00AE0ADA">
        <w:rPr>
          <w:rFonts w:ascii="Tahoma" w:hAnsi="Tahoma" w:cstheme="majorHAnsi"/>
          <w:b/>
          <w:bCs/>
          <w:sz w:val="32"/>
        </w:rPr>
        <w:t>Peer Review or Board Complaint: What to Do Now!</w:t>
      </w:r>
    </w:p>
    <w:p w14:paraId="4CB484B4" w14:textId="0AF9AFF8" w:rsidR="00AE0ADA" w:rsidRPr="00BD303F" w:rsidRDefault="00AE0ADA" w:rsidP="00AE0ADA">
      <w:pPr>
        <w:rPr>
          <w:rFonts w:ascii="Tahoma" w:hAnsi="Tahoma" w:cstheme="majorHAnsi"/>
          <w:sz w:val="21"/>
          <w:szCs w:val="21"/>
        </w:rPr>
      </w:pPr>
      <w:r w:rsidRPr="00BD303F">
        <w:rPr>
          <w:rFonts w:ascii="Tahoma" w:hAnsi="Tahoma" w:cstheme="majorHAnsi"/>
          <w:b/>
          <w:bCs/>
          <w:sz w:val="21"/>
          <w:szCs w:val="21"/>
        </w:rPr>
        <w:t>Speaker:</w:t>
      </w:r>
      <w:r w:rsidRPr="00BD303F">
        <w:rPr>
          <w:rFonts w:ascii="Tahoma" w:hAnsi="Tahoma" w:cstheme="majorHAnsi"/>
          <w:sz w:val="21"/>
          <w:szCs w:val="21"/>
        </w:rPr>
        <w:t xml:space="preserve"> Dr. </w:t>
      </w:r>
      <w:r>
        <w:rPr>
          <w:rFonts w:ascii="Tahoma" w:hAnsi="Tahoma" w:cstheme="majorHAnsi"/>
          <w:sz w:val="21"/>
          <w:szCs w:val="21"/>
        </w:rPr>
        <w:t>Joseph Wineman</w:t>
      </w:r>
      <w:r>
        <w:rPr>
          <w:rFonts w:ascii="Tahoma" w:hAnsi="Tahoma" w:cstheme="majorHAnsi"/>
          <w:sz w:val="21"/>
          <w:szCs w:val="21"/>
        </w:rPr>
        <w:tab/>
      </w:r>
      <w:r w:rsidRPr="00647884">
        <w:rPr>
          <w:rFonts w:ascii="Tahoma" w:hAnsi="Tahoma" w:cstheme="majorHAnsi"/>
          <w:b/>
          <w:sz w:val="21"/>
          <w:szCs w:val="21"/>
        </w:rPr>
        <w:t xml:space="preserve">Date: </w:t>
      </w:r>
      <w:r>
        <w:rPr>
          <w:rFonts w:ascii="Tahoma" w:hAnsi="Tahoma" w:cstheme="majorHAnsi"/>
          <w:sz w:val="21"/>
          <w:szCs w:val="21"/>
        </w:rPr>
        <w:t>September 18</w:t>
      </w:r>
      <w:r>
        <w:rPr>
          <w:rFonts w:ascii="Tahoma" w:hAnsi="Tahoma" w:cstheme="majorHAnsi"/>
          <w:sz w:val="21"/>
          <w:szCs w:val="21"/>
        </w:rPr>
        <w:t>, 2024 from 6:30-8 pm</w:t>
      </w:r>
      <w:r w:rsidRPr="00647884">
        <w:rPr>
          <w:rFonts w:ascii="Tahoma" w:hAnsi="Tahoma" w:cstheme="majorHAnsi"/>
          <w:sz w:val="21"/>
          <w:szCs w:val="21"/>
        </w:rPr>
        <w:t xml:space="preserve"> PST</w:t>
      </w:r>
    </w:p>
    <w:p w14:paraId="4453C97A" w14:textId="15613BED" w:rsidR="00AE0ADA" w:rsidRPr="00BD303F" w:rsidRDefault="00AE0ADA" w:rsidP="00AE0ADA">
      <w:pPr>
        <w:rPr>
          <w:rFonts w:ascii="Tahoma" w:hAnsi="Tahoma" w:cstheme="majorHAnsi"/>
          <w:sz w:val="21"/>
          <w:szCs w:val="21"/>
        </w:rPr>
      </w:pPr>
      <w:r w:rsidRPr="00BD303F">
        <w:rPr>
          <w:rFonts w:ascii="Tahoma" w:hAnsi="Tahoma" w:cstheme="majorHAnsi"/>
          <w:b/>
          <w:sz w:val="21"/>
          <w:szCs w:val="21"/>
        </w:rPr>
        <w:t>Educational Method:</w:t>
      </w:r>
      <w:r w:rsidRPr="00BD303F">
        <w:rPr>
          <w:rFonts w:ascii="Tahoma" w:hAnsi="Tahoma" w:cstheme="majorHAnsi"/>
          <w:sz w:val="21"/>
          <w:szCs w:val="21"/>
        </w:rPr>
        <w:t xml:space="preserve"> </w:t>
      </w:r>
      <w:r>
        <w:rPr>
          <w:rFonts w:ascii="Tahoma" w:hAnsi="Tahoma" w:cstheme="majorHAnsi"/>
          <w:sz w:val="21"/>
          <w:szCs w:val="21"/>
        </w:rPr>
        <w:t xml:space="preserve">Lecture </w:t>
      </w:r>
      <w:r w:rsidRPr="00BD303F">
        <w:rPr>
          <w:rFonts w:ascii="Tahoma" w:hAnsi="Tahoma" w:cstheme="majorHAnsi"/>
          <w:sz w:val="21"/>
          <w:szCs w:val="21"/>
        </w:rPr>
        <w:tab/>
      </w:r>
      <w:r w:rsidRPr="00647884">
        <w:rPr>
          <w:rFonts w:ascii="Tahoma" w:hAnsi="Tahoma" w:cstheme="majorHAnsi"/>
          <w:b/>
          <w:bCs/>
          <w:sz w:val="21"/>
          <w:szCs w:val="21"/>
        </w:rPr>
        <w:t>Subject:</w:t>
      </w:r>
      <w:r w:rsidRPr="00647884">
        <w:rPr>
          <w:rFonts w:ascii="Tahoma" w:hAnsi="Tahoma" w:cstheme="majorHAnsi"/>
          <w:sz w:val="21"/>
          <w:szCs w:val="21"/>
        </w:rPr>
        <w:t> </w:t>
      </w:r>
      <w:r>
        <w:rPr>
          <w:rFonts w:ascii="Tahoma" w:hAnsi="Tahoma" w:cstheme="majorHAnsi"/>
          <w:sz w:val="21"/>
          <w:szCs w:val="21"/>
        </w:rPr>
        <w:t>550</w:t>
      </w:r>
      <w:r>
        <w:rPr>
          <w:rFonts w:ascii="Tahoma" w:hAnsi="Tahoma" w:cstheme="majorHAnsi"/>
          <w:sz w:val="21"/>
          <w:szCs w:val="21"/>
        </w:rPr>
        <w:tab/>
      </w:r>
      <w:r w:rsidRPr="00BD303F">
        <w:rPr>
          <w:rFonts w:ascii="Tahoma" w:hAnsi="Tahoma" w:cstheme="majorHAnsi"/>
          <w:sz w:val="21"/>
          <w:szCs w:val="21"/>
        </w:rPr>
        <w:tab/>
        <w:t xml:space="preserve"> </w:t>
      </w:r>
      <w:r w:rsidRPr="00647884">
        <w:rPr>
          <w:rFonts w:ascii="Tahoma" w:hAnsi="Tahoma" w:cstheme="majorHAnsi"/>
          <w:b/>
          <w:bCs/>
          <w:sz w:val="21"/>
          <w:szCs w:val="21"/>
        </w:rPr>
        <w:t>Credits:</w:t>
      </w:r>
      <w:r w:rsidRPr="00647884">
        <w:rPr>
          <w:rFonts w:ascii="Tahoma" w:hAnsi="Tahoma" w:cstheme="majorHAnsi"/>
          <w:sz w:val="21"/>
          <w:szCs w:val="21"/>
        </w:rPr>
        <w:t> </w:t>
      </w:r>
      <w:r>
        <w:rPr>
          <w:rFonts w:ascii="Tahoma" w:hAnsi="Tahoma" w:cstheme="majorHAnsi"/>
          <w:sz w:val="21"/>
          <w:szCs w:val="21"/>
        </w:rPr>
        <w:t>1.5</w:t>
      </w:r>
      <w:r w:rsidRPr="00BD303F">
        <w:rPr>
          <w:rFonts w:ascii="Tahoma" w:hAnsi="Tahoma" w:cstheme="majorHAnsi"/>
          <w:sz w:val="21"/>
          <w:szCs w:val="21"/>
        </w:rPr>
        <w:tab/>
        <w:t xml:space="preserve">    </w:t>
      </w:r>
      <w:r w:rsidRPr="00BD303F">
        <w:rPr>
          <w:rFonts w:ascii="Tahoma" w:hAnsi="Tahoma" w:cstheme="majorHAnsi"/>
          <w:b/>
          <w:sz w:val="21"/>
          <w:szCs w:val="21"/>
        </w:rPr>
        <w:t>Location:</w:t>
      </w:r>
      <w:r w:rsidRPr="00BD303F">
        <w:rPr>
          <w:rFonts w:ascii="Tahoma" w:hAnsi="Tahoma" w:cstheme="majorHAnsi"/>
          <w:sz w:val="21"/>
          <w:szCs w:val="21"/>
        </w:rPr>
        <w:t xml:space="preserve"> Virtual</w:t>
      </w:r>
      <w:r>
        <w:rPr>
          <w:rFonts w:ascii="Tahoma" w:hAnsi="Tahoma" w:cstheme="majorHAnsi"/>
          <w:sz w:val="21"/>
          <w:szCs w:val="21"/>
        </w:rPr>
        <w:t xml:space="preserve"> </w:t>
      </w:r>
      <w:r w:rsidRPr="00BD303F">
        <w:rPr>
          <w:rFonts w:ascii="Tahoma" w:hAnsi="Tahoma" w:cstheme="majorHAnsi"/>
          <w:b/>
          <w:bCs/>
          <w:sz w:val="21"/>
          <w:szCs w:val="21"/>
        </w:rPr>
        <w:t>Audience: </w:t>
      </w:r>
      <w:r w:rsidRPr="00BD303F">
        <w:rPr>
          <w:rFonts w:ascii="Tahoma" w:hAnsi="Tahoma" w:cstheme="majorHAnsi"/>
          <w:bCs/>
          <w:sz w:val="21"/>
          <w:szCs w:val="21"/>
        </w:rPr>
        <w:t xml:space="preserve">General </w:t>
      </w:r>
      <w:r w:rsidRPr="00BD303F">
        <w:rPr>
          <w:rFonts w:ascii="Tahoma" w:hAnsi="Tahoma" w:cstheme="majorHAnsi"/>
          <w:sz w:val="21"/>
          <w:szCs w:val="21"/>
        </w:rPr>
        <w:t xml:space="preserve">Dentists, </w:t>
      </w:r>
      <w:r>
        <w:rPr>
          <w:rFonts w:ascii="Tahoma" w:hAnsi="Tahoma" w:cstheme="majorHAnsi"/>
          <w:sz w:val="21"/>
          <w:szCs w:val="21"/>
        </w:rPr>
        <w:t xml:space="preserve">Specialists, Hygienists, </w:t>
      </w:r>
      <w:r w:rsidRPr="00BD303F">
        <w:rPr>
          <w:rFonts w:ascii="Tahoma" w:hAnsi="Tahoma" w:cstheme="majorHAnsi"/>
          <w:sz w:val="21"/>
          <w:szCs w:val="21"/>
        </w:rPr>
        <w:t>Dental Students</w:t>
      </w:r>
      <w:r>
        <w:rPr>
          <w:rFonts w:ascii="Tahoma" w:hAnsi="Tahoma" w:cstheme="majorHAnsi"/>
          <w:sz w:val="21"/>
          <w:szCs w:val="21"/>
        </w:rPr>
        <w:t>, Residents</w:t>
      </w:r>
    </w:p>
    <w:p w14:paraId="5D653039" w14:textId="77777777" w:rsidR="00AE0ADA" w:rsidRDefault="00AE0ADA" w:rsidP="00AE0ADA">
      <w:pPr>
        <w:jc w:val="center"/>
        <w:rPr>
          <w:rFonts w:ascii="Tahoma" w:hAnsi="Tahoma" w:cstheme="majorHAnsi"/>
          <w:sz w:val="21"/>
          <w:szCs w:val="21"/>
        </w:rPr>
      </w:pPr>
      <w:r w:rsidRPr="00BD303F">
        <w:rPr>
          <w:rFonts w:ascii="Tahoma" w:hAnsi="Tahoma" w:cstheme="majorHAnsi"/>
          <w:b/>
          <w:sz w:val="21"/>
          <w:szCs w:val="21"/>
        </w:rPr>
        <w:t>Fees:</w:t>
      </w:r>
      <w:r w:rsidRPr="00BD303F">
        <w:rPr>
          <w:rFonts w:ascii="Tahoma" w:hAnsi="Tahoma" w:cstheme="majorHAnsi"/>
          <w:sz w:val="21"/>
          <w:szCs w:val="21"/>
        </w:rPr>
        <w:t xml:space="preserve"> NV AGD Members: $</w:t>
      </w:r>
      <w:r>
        <w:rPr>
          <w:rFonts w:ascii="Tahoma" w:hAnsi="Tahoma" w:cstheme="majorHAnsi"/>
          <w:sz w:val="21"/>
          <w:szCs w:val="21"/>
        </w:rPr>
        <w:t>10</w:t>
      </w:r>
      <w:r>
        <w:rPr>
          <w:rFonts w:ascii="Tahoma" w:hAnsi="Tahoma" w:cstheme="majorHAnsi"/>
          <w:sz w:val="21"/>
          <w:szCs w:val="21"/>
        </w:rPr>
        <w:tab/>
      </w:r>
      <w:r w:rsidRPr="00BD303F">
        <w:rPr>
          <w:rFonts w:ascii="Tahoma" w:hAnsi="Tahoma" w:cstheme="majorHAnsi"/>
          <w:sz w:val="21"/>
          <w:szCs w:val="21"/>
        </w:rPr>
        <w:t>Non-Member: $</w:t>
      </w:r>
      <w:r>
        <w:rPr>
          <w:rFonts w:ascii="Tahoma" w:hAnsi="Tahoma" w:cstheme="majorHAnsi"/>
          <w:sz w:val="21"/>
          <w:szCs w:val="21"/>
        </w:rPr>
        <w:t>20</w:t>
      </w:r>
      <w:r>
        <w:rPr>
          <w:rFonts w:ascii="Tahoma" w:hAnsi="Tahoma" w:cstheme="majorHAnsi"/>
          <w:sz w:val="21"/>
          <w:szCs w:val="21"/>
        </w:rPr>
        <w:tab/>
      </w:r>
      <w:r w:rsidRPr="00BD303F">
        <w:rPr>
          <w:rFonts w:ascii="Tahoma" w:hAnsi="Tahoma" w:cstheme="majorHAnsi"/>
          <w:sz w:val="21"/>
          <w:szCs w:val="21"/>
        </w:rPr>
        <w:t>Student AGD Member: $</w:t>
      </w:r>
      <w:r>
        <w:rPr>
          <w:rFonts w:ascii="Tahoma" w:hAnsi="Tahoma" w:cstheme="majorHAnsi"/>
          <w:sz w:val="21"/>
          <w:szCs w:val="21"/>
        </w:rPr>
        <w:t>0</w:t>
      </w:r>
      <w:r w:rsidRPr="00BD303F">
        <w:rPr>
          <w:rFonts w:ascii="Tahoma" w:hAnsi="Tahoma" w:cstheme="majorHAnsi"/>
          <w:sz w:val="21"/>
          <w:szCs w:val="21"/>
        </w:rPr>
        <w:t xml:space="preserve"> </w:t>
      </w:r>
      <w:r>
        <w:rPr>
          <w:rFonts w:ascii="Tahoma" w:hAnsi="Tahoma" w:cstheme="majorHAnsi"/>
          <w:sz w:val="21"/>
          <w:szCs w:val="21"/>
        </w:rPr>
        <w:tab/>
      </w:r>
      <w:r w:rsidRPr="00BD303F">
        <w:rPr>
          <w:rFonts w:ascii="Tahoma" w:hAnsi="Tahoma" w:cstheme="majorHAnsi"/>
          <w:sz w:val="21"/>
          <w:szCs w:val="21"/>
        </w:rPr>
        <w:t>Non-Member Student: $</w:t>
      </w:r>
      <w:r>
        <w:rPr>
          <w:rFonts w:ascii="Tahoma" w:hAnsi="Tahoma" w:cstheme="majorHAnsi"/>
          <w:sz w:val="21"/>
          <w:szCs w:val="21"/>
        </w:rPr>
        <w:t>5</w:t>
      </w:r>
    </w:p>
    <w:p w14:paraId="0DF7F1EC" w14:textId="77777777" w:rsidR="00AE0ADA" w:rsidRDefault="00AE0ADA" w:rsidP="00AE0ADA">
      <w:pPr>
        <w:jc w:val="center"/>
        <w:rPr>
          <w:rFonts w:ascii="Tahoma" w:hAnsi="Tahoma" w:cs="Calibri Light"/>
          <w:b/>
          <w:color w:val="FF0000"/>
          <w:sz w:val="21"/>
          <w:szCs w:val="21"/>
        </w:rPr>
      </w:pPr>
    </w:p>
    <w:p w14:paraId="7C089DD5" w14:textId="14F24886" w:rsidR="00AE0ADA" w:rsidRDefault="00AE0ADA" w:rsidP="00AE0ADA">
      <w:pPr>
        <w:jc w:val="center"/>
        <w:rPr>
          <w:rFonts w:ascii="Tahoma" w:hAnsi="Tahoma" w:cs="Calibri Light"/>
          <w:b/>
          <w:color w:val="FF0000"/>
          <w:sz w:val="36"/>
          <w:szCs w:val="21"/>
        </w:rPr>
      </w:pPr>
      <w:hyperlink r:id="rId4" w:history="1">
        <w:r w:rsidRPr="003027A6">
          <w:rPr>
            <w:rStyle w:val="Hyperlink"/>
            <w:rFonts w:ascii="Tahoma" w:hAnsi="Tahoma" w:cs="Calibri Light"/>
            <w:b/>
            <w:sz w:val="36"/>
            <w:szCs w:val="21"/>
          </w:rPr>
          <w:t>REGISTE</w:t>
        </w:r>
        <w:r w:rsidRPr="003027A6">
          <w:rPr>
            <w:rStyle w:val="Hyperlink"/>
            <w:rFonts w:ascii="Tahoma" w:hAnsi="Tahoma" w:cs="Calibri Light"/>
            <w:b/>
            <w:sz w:val="36"/>
            <w:szCs w:val="21"/>
          </w:rPr>
          <w:t>R</w:t>
        </w:r>
        <w:r w:rsidRPr="003027A6">
          <w:rPr>
            <w:rStyle w:val="Hyperlink"/>
            <w:rFonts w:ascii="Tahoma" w:hAnsi="Tahoma" w:cs="Calibri Light"/>
            <w:b/>
            <w:sz w:val="36"/>
            <w:szCs w:val="21"/>
          </w:rPr>
          <w:t xml:space="preserve"> HERE</w:t>
        </w:r>
      </w:hyperlink>
    </w:p>
    <w:p w14:paraId="719BEFEF" w14:textId="7756FD59" w:rsidR="00AE0ADA" w:rsidRDefault="00AE0ADA" w:rsidP="00AE0ADA">
      <w:pPr>
        <w:jc w:val="both"/>
        <w:rPr>
          <w:rFonts w:ascii="Tahoma" w:hAnsi="Tahoma" w:cs="Tahoma"/>
          <w:color w:val="000000"/>
          <w:sz w:val="22"/>
          <w:szCs w:val="22"/>
        </w:rPr>
      </w:pPr>
      <w:r w:rsidRPr="00BD303F">
        <w:rPr>
          <w:rFonts w:ascii="Tahoma" w:hAnsi="Tahoma" w:cs="Calibri Light"/>
          <w:b/>
          <w:bCs/>
          <w:sz w:val="21"/>
          <w:szCs w:val="21"/>
        </w:rPr>
        <w:br/>
      </w:r>
      <w:r w:rsidRPr="00E0717A">
        <w:rPr>
          <w:rFonts w:ascii="Tahoma" w:hAnsi="Tahoma" w:cstheme="majorHAnsi"/>
          <w:b/>
          <w:bCs/>
          <w:sz w:val="22"/>
          <w:szCs w:val="22"/>
        </w:rPr>
        <w:t xml:space="preserve">Course </w:t>
      </w:r>
      <w:r w:rsidRPr="00E0717A">
        <w:rPr>
          <w:rFonts w:ascii="Tahoma" w:hAnsi="Tahoma" w:cs="Tahoma"/>
          <w:b/>
          <w:bCs/>
          <w:sz w:val="22"/>
          <w:szCs w:val="22"/>
        </w:rPr>
        <w:t xml:space="preserve">Description: </w:t>
      </w:r>
      <w:r w:rsidRPr="00AE0ADA">
        <w:rPr>
          <w:rFonts w:ascii="Tahoma" w:hAnsi="Tahoma" w:cs="Tahoma"/>
          <w:color w:val="000000"/>
          <w:sz w:val="22"/>
          <w:szCs w:val="22"/>
        </w:rPr>
        <w:t>This course will explain the procedures usually followed when a patient files a complaint with either the local Peer Review Committee or the State Dental Board and how the dentist should respond to each. The presentation will identify the four areas usually allowed under the Peer Review system, showcase the main reason for a patient complaint, and share with the attendees the possible outcomes that can occur from each scenario.</w:t>
      </w:r>
    </w:p>
    <w:p w14:paraId="065091E6" w14:textId="77777777" w:rsidR="00AE0ADA" w:rsidRPr="00411F93" w:rsidRDefault="00AE0ADA" w:rsidP="00AE0ADA">
      <w:pPr>
        <w:jc w:val="both"/>
        <w:rPr>
          <w:rFonts w:ascii="Tahoma" w:hAnsi="Tahoma" w:cstheme="majorHAnsi"/>
          <w:color w:val="FF0000"/>
          <w:sz w:val="36"/>
          <w:szCs w:val="21"/>
        </w:rPr>
      </w:pPr>
    </w:p>
    <w:p w14:paraId="5BF9D196" w14:textId="77777777" w:rsidR="00AE0ADA" w:rsidRPr="00E0717A" w:rsidRDefault="00AE0ADA" w:rsidP="00AE0ADA">
      <w:pPr>
        <w:rPr>
          <w:rFonts w:ascii="Tahoma" w:hAnsi="Tahoma" w:cstheme="majorHAnsi"/>
          <w:b/>
          <w:bCs/>
          <w:sz w:val="22"/>
          <w:szCs w:val="22"/>
        </w:rPr>
      </w:pPr>
      <w:r w:rsidRPr="00E0717A">
        <w:rPr>
          <w:rFonts w:ascii="Tahoma" w:hAnsi="Tahoma" w:cstheme="majorHAnsi"/>
          <w:b/>
          <w:bCs/>
          <w:sz w:val="22"/>
          <w:szCs w:val="22"/>
        </w:rPr>
        <w:t>Learning Objectives:</w:t>
      </w:r>
      <w:bookmarkStart w:id="0" w:name="_GoBack"/>
      <w:bookmarkEnd w:id="0"/>
    </w:p>
    <w:p w14:paraId="4A2BC7AE"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r w:rsidRPr="00AE0ADA">
        <w:rPr>
          <w:rFonts w:ascii="Tahoma" w:hAnsi="Tahoma" w:cs="Tahoma"/>
          <w:color w:val="000000"/>
          <w:sz w:val="22"/>
          <w:szCs w:val="22"/>
        </w:rPr>
        <w:t>1. Know the difference between a peer review complaint and a state dental board complaint.</w:t>
      </w:r>
    </w:p>
    <w:p w14:paraId="0C983163"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p>
    <w:p w14:paraId="45AB47E8"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r w:rsidRPr="00AE0ADA">
        <w:rPr>
          <w:rFonts w:ascii="Tahoma" w:hAnsi="Tahoma" w:cs="Tahoma"/>
          <w:color w:val="000000"/>
          <w:sz w:val="22"/>
          <w:szCs w:val="22"/>
        </w:rPr>
        <w:t>2. Identify the times frames within which a dentist must respond to each type of complaint.</w:t>
      </w:r>
    </w:p>
    <w:p w14:paraId="56F257D0"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p>
    <w:p w14:paraId="2A1F99CF"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r w:rsidRPr="00AE0ADA">
        <w:rPr>
          <w:rFonts w:ascii="Tahoma" w:hAnsi="Tahoma" w:cs="Tahoma"/>
          <w:color w:val="000000"/>
          <w:sz w:val="22"/>
          <w:szCs w:val="22"/>
        </w:rPr>
        <w:t>3. Name the four areas under which a patient can file a peer review complaint.</w:t>
      </w:r>
    </w:p>
    <w:p w14:paraId="195C6C79"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p>
    <w:p w14:paraId="09BA225F"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r w:rsidRPr="00AE0ADA">
        <w:rPr>
          <w:rFonts w:ascii="Tahoma" w:hAnsi="Tahoma" w:cs="Tahoma"/>
          <w:color w:val="000000"/>
          <w:sz w:val="22"/>
          <w:szCs w:val="22"/>
        </w:rPr>
        <w:t>4. Explain the types of punishment that can be given to a dentist from either process.</w:t>
      </w:r>
    </w:p>
    <w:p w14:paraId="44C543C5"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p>
    <w:p w14:paraId="5EC5AB51" w14:textId="77777777" w:rsidR="00AE0ADA" w:rsidRPr="00AE0ADA" w:rsidRDefault="00AE0ADA" w:rsidP="00AE0ADA">
      <w:pPr>
        <w:pBdr>
          <w:top w:val="nil"/>
          <w:left w:val="nil"/>
          <w:bottom w:val="nil"/>
          <w:right w:val="nil"/>
          <w:between w:val="nil"/>
        </w:pBdr>
        <w:rPr>
          <w:rFonts w:ascii="Tahoma" w:hAnsi="Tahoma" w:cs="Tahoma"/>
          <w:color w:val="000000"/>
          <w:sz w:val="22"/>
          <w:szCs w:val="22"/>
        </w:rPr>
      </w:pPr>
      <w:r w:rsidRPr="00AE0ADA">
        <w:rPr>
          <w:rFonts w:ascii="Tahoma" w:hAnsi="Tahoma" w:cs="Tahoma"/>
          <w:color w:val="000000"/>
          <w:sz w:val="22"/>
          <w:szCs w:val="22"/>
        </w:rPr>
        <w:t>5. Explain the most common cause for any type of patient complaint.</w:t>
      </w:r>
    </w:p>
    <w:p w14:paraId="09645A76" w14:textId="77777777" w:rsidR="00AE0ADA" w:rsidRDefault="00AE0ADA" w:rsidP="00AE0ADA">
      <w:pPr>
        <w:pBdr>
          <w:top w:val="nil"/>
          <w:left w:val="nil"/>
          <w:bottom w:val="nil"/>
          <w:right w:val="nil"/>
          <w:between w:val="nil"/>
        </w:pBdr>
        <w:rPr>
          <w:rFonts w:ascii="Tahoma" w:hAnsi="Tahoma" w:cstheme="majorHAnsi"/>
          <w:b/>
          <w:sz w:val="22"/>
          <w:szCs w:val="22"/>
        </w:rPr>
      </w:pPr>
    </w:p>
    <w:p w14:paraId="69EF13BE" w14:textId="0308A5DE" w:rsidR="00AE0ADA" w:rsidRDefault="00AE0ADA" w:rsidP="00AE0ADA">
      <w:pPr>
        <w:pBdr>
          <w:top w:val="nil"/>
          <w:left w:val="nil"/>
          <w:bottom w:val="nil"/>
          <w:right w:val="nil"/>
          <w:between w:val="nil"/>
        </w:pBdr>
        <w:rPr>
          <w:rFonts w:ascii="Tahoma" w:eastAsia="Calibri" w:hAnsi="Tahoma" w:cs="Tahoma"/>
          <w:color w:val="000000"/>
          <w:sz w:val="18"/>
          <w:szCs w:val="20"/>
        </w:rPr>
      </w:pPr>
      <w:r w:rsidRPr="00647884">
        <w:rPr>
          <w:rFonts w:ascii="Tahoma" w:hAnsi="Tahoma" w:cstheme="majorHAnsi"/>
          <w:b/>
          <w:sz w:val="22"/>
          <w:szCs w:val="22"/>
        </w:rPr>
        <w:t>Instructor Qualifications</w:t>
      </w:r>
      <w:r w:rsidRPr="00647884">
        <w:rPr>
          <w:rFonts w:ascii="Tahoma" w:hAnsi="Tahoma" w:cstheme="majorHAnsi"/>
          <w:sz w:val="22"/>
          <w:szCs w:val="22"/>
        </w:rPr>
        <w:t xml:space="preserve">: </w:t>
      </w:r>
      <w:r w:rsidRPr="00AE0ADA">
        <w:rPr>
          <w:rFonts w:ascii="Tahoma" w:eastAsia="Calibri" w:hAnsi="Tahoma" w:cs="Tahoma"/>
          <w:color w:val="000000"/>
          <w:sz w:val="18"/>
          <w:szCs w:val="20"/>
        </w:rPr>
        <w:t xml:space="preserve">Joseph A. Wineman DMD, ABGD is a Comprehensive Dentist who retired in 2002 as a COLONEL in the US ARMY Dental Corps after 26.5 years on active duty. A 1981 graduate of the University of Pittsburgh School of Dental Medicine, Dr. Wineman has been practicing dentistry for 43 years. Even after all the time living around the globe, he remains a diehard Pittsburgh Steeler fan. Dr. Wineman deployed in support of Operation Desert Shield/Desert Storm providing emergency dental care to NATO soldiers and Enemy Prisoners of War and earned Bronze Star. Married for 46 years to his college sweetheart, he is the father of 3 grown children and 8 grandchildren. In his spare time, he enjoys floating in the backyard pool, working out weekly with his personal trainer, recovering with a </w:t>
      </w:r>
      <w:proofErr w:type="gramStart"/>
      <w:r w:rsidRPr="00AE0ADA">
        <w:rPr>
          <w:rFonts w:ascii="Tahoma" w:eastAsia="Calibri" w:hAnsi="Tahoma" w:cs="Tahoma"/>
          <w:color w:val="000000"/>
          <w:sz w:val="18"/>
          <w:szCs w:val="20"/>
        </w:rPr>
        <w:t>10 minute</w:t>
      </w:r>
      <w:proofErr w:type="gramEnd"/>
      <w:r w:rsidRPr="00AE0ADA">
        <w:rPr>
          <w:rFonts w:ascii="Tahoma" w:eastAsia="Calibri" w:hAnsi="Tahoma" w:cs="Tahoma"/>
          <w:color w:val="000000"/>
          <w:sz w:val="18"/>
          <w:szCs w:val="20"/>
        </w:rPr>
        <w:t xml:space="preserve"> cold plunge, donating his talents to assist others less fortunate with the Tzu Chi Foundation and the Tonopah Dental Center, and is a FAA licensed Part 107 UAS/Drone Pilot. Dr. Wineman has served as SNDS Peer Review Chairman (2010-2016), President of the SNDS (2017-2019) President of the Nevada Dental Association (2023-2024) and is currently the President of the Nevada Academy of General Dentistry. In his free time, he leads a Spear Study Club in Henderson, Nevada.</w:t>
      </w:r>
    </w:p>
    <w:p w14:paraId="13D546AE" w14:textId="77777777" w:rsidR="00AE0ADA" w:rsidRDefault="00AE0ADA" w:rsidP="00AE0ADA">
      <w:pPr>
        <w:pBdr>
          <w:top w:val="nil"/>
          <w:left w:val="nil"/>
          <w:bottom w:val="nil"/>
          <w:right w:val="nil"/>
          <w:between w:val="nil"/>
        </w:pBdr>
        <w:rPr>
          <w:rFonts w:ascii="Tahoma" w:eastAsia="Times New Roman" w:hAnsi="Tahoma" w:cstheme="majorHAnsi"/>
          <w:color w:val="1D2228"/>
          <w:sz w:val="21"/>
          <w:szCs w:val="21"/>
        </w:rPr>
      </w:pPr>
    </w:p>
    <w:p w14:paraId="78052ED7" w14:textId="77777777" w:rsidR="00AE0ADA" w:rsidRPr="003E474C" w:rsidRDefault="00AE0ADA" w:rsidP="00AE0ADA">
      <w:pPr>
        <w:pBdr>
          <w:top w:val="nil"/>
          <w:left w:val="nil"/>
          <w:bottom w:val="nil"/>
          <w:right w:val="nil"/>
          <w:between w:val="nil"/>
        </w:pBdr>
        <w:rPr>
          <w:rFonts w:ascii="Tahoma" w:eastAsia="Times New Roman" w:hAnsi="Tahoma" w:cs="Tahoma"/>
          <w:b/>
          <w:i/>
          <w:color w:val="000000"/>
          <w:sz w:val="20"/>
          <w:szCs w:val="20"/>
          <w:shd w:val="clear" w:color="auto" w:fill="FFFFFF"/>
        </w:rPr>
      </w:pPr>
      <w:r w:rsidRPr="003E474C">
        <w:rPr>
          <w:rFonts w:ascii="Tahoma" w:eastAsia="Times New Roman" w:hAnsi="Tahoma" w:cs="Tahoma"/>
          <w:b/>
          <w:i/>
          <w:color w:val="000000"/>
          <w:sz w:val="20"/>
          <w:szCs w:val="20"/>
          <w:shd w:val="clear" w:color="auto" w:fill="FFFFFF"/>
        </w:rPr>
        <w:t xml:space="preserve">Requirements: </w:t>
      </w:r>
      <w:r w:rsidRPr="003E474C">
        <w:rPr>
          <w:rFonts w:ascii="Tahoma" w:eastAsia="Times New Roman" w:hAnsi="Tahoma" w:cs="Tahoma"/>
          <w:i/>
          <w:color w:val="000000"/>
          <w:sz w:val="20"/>
          <w:szCs w:val="20"/>
          <w:shd w:val="clear" w:color="auto" w:fill="FFFFFF"/>
        </w:rPr>
        <w:t>Access to a computer that can play sound, is required for participation the Nevada AGD live webinar. No special computer knowledge or equipment is required to participate; however, the webinar utilizes the Zoom platform. Specific instructions will be disseminated upon registration to assist with course access.</w:t>
      </w:r>
    </w:p>
    <w:p w14:paraId="79E2DFB2" w14:textId="77777777" w:rsidR="00AE0ADA" w:rsidRPr="003E474C" w:rsidRDefault="00AE0ADA" w:rsidP="00AE0ADA">
      <w:pPr>
        <w:pBdr>
          <w:top w:val="nil"/>
          <w:left w:val="nil"/>
          <w:bottom w:val="nil"/>
          <w:right w:val="nil"/>
          <w:between w:val="nil"/>
        </w:pBdr>
        <w:rPr>
          <w:rFonts w:ascii="Tahoma" w:eastAsia="Times New Roman" w:hAnsi="Tahoma" w:cs="Tahoma"/>
          <w:b/>
          <w:i/>
          <w:color w:val="000000"/>
          <w:sz w:val="20"/>
          <w:szCs w:val="20"/>
          <w:shd w:val="clear" w:color="auto" w:fill="FFFFFF"/>
        </w:rPr>
      </w:pPr>
    </w:p>
    <w:p w14:paraId="0FAC9798" w14:textId="77777777" w:rsidR="00AE0ADA" w:rsidRPr="003E474C" w:rsidRDefault="00AE0ADA" w:rsidP="00AE0ADA">
      <w:pPr>
        <w:pBdr>
          <w:top w:val="nil"/>
          <w:left w:val="nil"/>
          <w:bottom w:val="nil"/>
          <w:right w:val="nil"/>
          <w:between w:val="nil"/>
        </w:pBdr>
        <w:rPr>
          <w:rFonts w:ascii="Tahoma" w:eastAsia="Times New Roman" w:hAnsi="Tahoma" w:cs="Tahoma"/>
          <w:i/>
          <w:color w:val="000000"/>
          <w:sz w:val="20"/>
          <w:szCs w:val="20"/>
          <w:shd w:val="clear" w:color="auto" w:fill="FFFFFF"/>
        </w:rPr>
      </w:pPr>
      <w:r w:rsidRPr="003E474C">
        <w:rPr>
          <w:rFonts w:ascii="Tahoma" w:eastAsia="Times New Roman" w:hAnsi="Tahoma" w:cs="Tahoma"/>
          <w:b/>
          <w:i/>
          <w:color w:val="000000"/>
          <w:sz w:val="20"/>
          <w:szCs w:val="20"/>
          <w:shd w:val="clear" w:color="auto" w:fill="FFFFFF"/>
        </w:rPr>
        <w:t xml:space="preserve">Cancellation Policy: </w:t>
      </w:r>
      <w:r w:rsidRPr="003E474C">
        <w:rPr>
          <w:rFonts w:ascii="Tahoma" w:eastAsia="Times New Roman" w:hAnsi="Tahoma" w:cs="Tahoma"/>
          <w:i/>
          <w:color w:val="000000"/>
          <w:sz w:val="20"/>
          <w:szCs w:val="20"/>
          <w:shd w:val="clear" w:color="auto" w:fill="FFFFFF"/>
        </w:rPr>
        <w:t>Cancellations by participant are permitted up to 7 days prior to the event subject to a cancellation fee of 50% of the course cost. Cancellations or failure to join will not be refunded. If NV AGD cancels the program, participant will be reimbursed the full tuition amount.</w:t>
      </w:r>
    </w:p>
    <w:p w14:paraId="6B40534B" w14:textId="77777777" w:rsidR="00AE0ADA" w:rsidRPr="007503AD" w:rsidRDefault="00AE0ADA" w:rsidP="00AE0ADA">
      <w:pPr>
        <w:rPr>
          <w:rFonts w:ascii="Tahoma" w:hAnsi="Tahoma" w:cstheme="majorHAnsi"/>
          <w:b/>
          <w:i/>
          <w:iCs/>
          <w:color w:val="000000"/>
          <w:sz w:val="21"/>
          <w:szCs w:val="21"/>
        </w:rPr>
      </w:pPr>
      <w:r w:rsidRPr="003B51F5">
        <w:rPr>
          <w:noProof/>
        </w:rPr>
        <mc:AlternateContent>
          <mc:Choice Requires="wps">
            <w:drawing>
              <wp:anchor distT="0" distB="0" distL="114300" distR="114300" simplePos="0" relativeHeight="251659264" behindDoc="0" locked="0" layoutInCell="1" allowOverlap="1" wp14:anchorId="2B9D0348" wp14:editId="4193B154">
                <wp:simplePos x="0" y="0"/>
                <wp:positionH relativeFrom="column">
                  <wp:posOffset>2601310</wp:posOffset>
                </wp:positionH>
                <wp:positionV relativeFrom="paragraph">
                  <wp:posOffset>159932</wp:posOffset>
                </wp:positionV>
                <wp:extent cx="3526790" cy="1240790"/>
                <wp:effectExtent l="0" t="0" r="16510" b="16510"/>
                <wp:wrapNone/>
                <wp:docPr id="14" name="Text Box 2">
                  <a:extLst xmlns:a="http://schemas.openxmlformats.org/drawingml/2006/main">
                    <a:ext uri="{FF2B5EF4-FFF2-40B4-BE49-F238E27FC236}">
                      <a16:creationId xmlns:a16="http://schemas.microsoft.com/office/drawing/2014/main" id="{7FBE7844-D8B0-FC42-AB4E-F44A370EFE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240790"/>
                        </a:xfrm>
                        <a:prstGeom prst="rect">
                          <a:avLst/>
                        </a:prstGeom>
                        <a:solidFill>
                          <a:srgbClr val="FFFFFF"/>
                        </a:solidFill>
                        <a:ln w="9525">
                          <a:solidFill>
                            <a:srgbClr val="000000"/>
                          </a:solidFill>
                          <a:miter lim="800000"/>
                          <a:headEnd/>
                          <a:tailEnd/>
                        </a:ln>
                      </wps:spPr>
                      <wps:txbx>
                        <w:txbxContent>
                          <w:p w14:paraId="1BC8E5F8"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AGD-Nevada</w:t>
                            </w:r>
                          </w:p>
                          <w:p w14:paraId="052B220E"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 xml:space="preserve">Nationally Approved PACE Program Provider for FAGD/MAGD credit. </w:t>
                            </w:r>
                          </w:p>
                          <w:p w14:paraId="62C62716"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 xml:space="preserve">Approval does not imply acceptance by </w:t>
                            </w:r>
                          </w:p>
                          <w:p w14:paraId="66D65314"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 xml:space="preserve">any regulatory authority or AGD endorsement. </w:t>
                            </w:r>
                          </w:p>
                          <w:p w14:paraId="473E092C"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 xml:space="preserve">4/1/2022 to 3/31/2026 </w:t>
                            </w:r>
                          </w:p>
                          <w:p w14:paraId="31F2ADD5" w14:textId="77777777" w:rsidR="00AE0ADA" w:rsidRDefault="00AE0ADA" w:rsidP="00AE0ADA">
                            <w:pPr>
                              <w:pStyle w:val="NormalWeb"/>
                              <w:spacing w:before="0" w:beforeAutospacing="0" w:after="160" w:afterAutospacing="0" w:line="256" w:lineRule="auto"/>
                            </w:pPr>
                            <w:r>
                              <w:rPr>
                                <w:rFonts w:ascii="Arial" w:eastAsia="Calibri" w:hAnsi="Arial"/>
                                <w:color w:val="221E1F"/>
                                <w:kern w:val="24"/>
                                <w:sz w:val="20"/>
                                <w:szCs w:val="20"/>
                              </w:rPr>
                              <w:t>Provider ID# 219314</w:t>
                            </w:r>
                          </w:p>
                          <w:p w14:paraId="46039DD8" w14:textId="77777777" w:rsidR="00AE0ADA" w:rsidRDefault="00AE0ADA" w:rsidP="00AE0ADA">
                            <w:pPr>
                              <w:pStyle w:val="NormalWeb"/>
                              <w:spacing w:before="0" w:beforeAutospacing="0" w:after="160" w:afterAutospacing="0" w:line="256" w:lineRule="auto"/>
                            </w:pPr>
                            <w:r>
                              <w:rPr>
                                <w:rFonts w:ascii="Calibri" w:eastAsia="Calibri" w:hAnsi="Calibri"/>
                                <w:color w:val="000000" w:themeColor="text1"/>
                                <w:kern w:val="24"/>
                                <w:sz w:val="20"/>
                                <w:szCs w:val="20"/>
                              </w:rPr>
                              <w:t> </w:t>
                            </w:r>
                          </w:p>
                          <w:p w14:paraId="13CB3CAA" w14:textId="77777777" w:rsidR="00AE0ADA" w:rsidRDefault="00AE0ADA" w:rsidP="00AE0ADA">
                            <w:pPr>
                              <w:pStyle w:val="NormalWeb"/>
                              <w:spacing w:before="0" w:beforeAutospacing="0" w:after="160" w:afterAutospacing="0" w:line="256" w:lineRule="auto"/>
                            </w:pPr>
                            <w:r>
                              <w:rPr>
                                <w:rFonts w:ascii="Calibri" w:eastAsia="Calibri" w:hAnsi="Calibri"/>
                                <w:color w:val="000000" w:themeColor="text1"/>
                                <w:kern w:val="24"/>
                                <w:sz w:val="22"/>
                                <w:szCs w:val="22"/>
                              </w:rPr>
                              <w:t> </w:t>
                            </w:r>
                          </w:p>
                          <w:p w14:paraId="76E30D63" w14:textId="77777777" w:rsidR="00AE0ADA" w:rsidRDefault="00AE0ADA" w:rsidP="00AE0ADA">
                            <w:pPr>
                              <w:pStyle w:val="NormalWeb"/>
                              <w:spacing w:before="0" w:beforeAutospacing="0" w:after="160" w:afterAutospacing="0" w:line="256" w:lineRule="auto"/>
                            </w:pPr>
                            <w:r>
                              <w:rPr>
                                <w:rFonts w:ascii="Calibri" w:eastAsia="Calibri" w:hAnsi="Calibri"/>
                                <w:color w:val="000000" w:themeColor="text1"/>
                                <w:kern w:val="24"/>
                                <w:sz w:val="22"/>
                                <w:szCs w:val="22"/>
                              </w:rPr>
                              <w:t>c</w:t>
                            </w:r>
                          </w:p>
                        </w:txbxContent>
                      </wps:txbx>
                      <wps:bodyPr rot="0" vert="horz" wrap="square" lIns="91440" tIns="45720" rIns="91440" bIns="45720" anchor="t" anchorCtr="0">
                        <a:noAutofit/>
                      </wps:bodyPr>
                    </wps:wsp>
                  </a:graphicData>
                </a:graphic>
              </wp:anchor>
            </w:drawing>
          </mc:Choice>
          <mc:Fallback>
            <w:pict>
              <v:shapetype w14:anchorId="2B9D0348" id="_x0000_t202" coordsize="21600,21600" o:spt="202" path="m,l,21600r21600,l21600,xe">
                <v:stroke joinstyle="miter"/>
                <v:path gradientshapeok="t" o:connecttype="rect"/>
              </v:shapetype>
              <v:shape id="Text Box 2" o:spid="_x0000_s1026" type="#_x0000_t202" style="position:absolute;margin-left:204.85pt;margin-top:12.6pt;width:277.7pt;height:9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">
                <v:textbox>
                  <w:txbxContent>
                    <w:p w14:paraId="1BC8E5F8"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AGD-Nevada</w:t>
                      </w:r>
                    </w:p>
                    <w:p w14:paraId="052B220E"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 xml:space="preserve">Nationally Approved PACE Program Provider for FAGD/MAGD credit. </w:t>
                      </w:r>
                    </w:p>
                    <w:p w14:paraId="62C62716"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 xml:space="preserve">Approval does not imply acceptance by </w:t>
                      </w:r>
                    </w:p>
                    <w:p w14:paraId="66D65314"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 xml:space="preserve">any regulatory authority or AGD endorsement. </w:t>
                      </w:r>
                    </w:p>
                    <w:p w14:paraId="473E092C" w14:textId="77777777" w:rsidR="00AE0ADA" w:rsidRDefault="00AE0ADA" w:rsidP="00AE0ADA">
                      <w:pPr>
                        <w:pStyle w:val="NormalWeb"/>
                        <w:spacing w:before="0" w:beforeAutospacing="0" w:after="0" w:afterAutospacing="0" w:line="241" w:lineRule="exact"/>
                      </w:pPr>
                      <w:r>
                        <w:rPr>
                          <w:rFonts w:ascii="Arial" w:hAnsi="Arial" w:cs="Helvetica"/>
                          <w:color w:val="221E1F"/>
                          <w:kern w:val="24"/>
                          <w:sz w:val="20"/>
                          <w:szCs w:val="20"/>
                        </w:rPr>
                        <w:t xml:space="preserve">4/1/2022 to 3/31/2026 </w:t>
                      </w:r>
                    </w:p>
                    <w:p w14:paraId="31F2ADD5" w14:textId="77777777" w:rsidR="00AE0ADA" w:rsidRDefault="00AE0ADA" w:rsidP="00AE0ADA">
                      <w:pPr>
                        <w:pStyle w:val="NormalWeb"/>
                        <w:spacing w:before="0" w:beforeAutospacing="0" w:after="160" w:afterAutospacing="0" w:line="256" w:lineRule="auto"/>
                      </w:pPr>
                      <w:r>
                        <w:rPr>
                          <w:rFonts w:ascii="Arial" w:eastAsia="Calibri" w:hAnsi="Arial"/>
                          <w:color w:val="221E1F"/>
                          <w:kern w:val="24"/>
                          <w:sz w:val="20"/>
                          <w:szCs w:val="20"/>
                        </w:rPr>
                        <w:t>Provider ID# 219314</w:t>
                      </w:r>
                    </w:p>
                    <w:p w14:paraId="46039DD8" w14:textId="77777777" w:rsidR="00AE0ADA" w:rsidRDefault="00AE0ADA" w:rsidP="00AE0ADA">
                      <w:pPr>
                        <w:pStyle w:val="NormalWeb"/>
                        <w:spacing w:before="0" w:beforeAutospacing="0" w:after="160" w:afterAutospacing="0" w:line="256" w:lineRule="auto"/>
                      </w:pPr>
                      <w:r>
                        <w:rPr>
                          <w:rFonts w:ascii="Calibri" w:eastAsia="Calibri" w:hAnsi="Calibri"/>
                          <w:color w:val="000000" w:themeColor="text1"/>
                          <w:kern w:val="24"/>
                          <w:sz w:val="20"/>
                          <w:szCs w:val="20"/>
                        </w:rPr>
                        <w:t> </w:t>
                      </w:r>
                    </w:p>
                    <w:p w14:paraId="13CB3CAA" w14:textId="77777777" w:rsidR="00AE0ADA" w:rsidRDefault="00AE0ADA" w:rsidP="00AE0ADA">
                      <w:pPr>
                        <w:pStyle w:val="NormalWeb"/>
                        <w:spacing w:before="0" w:beforeAutospacing="0" w:after="160" w:afterAutospacing="0" w:line="256" w:lineRule="auto"/>
                      </w:pPr>
                      <w:r>
                        <w:rPr>
                          <w:rFonts w:ascii="Calibri" w:eastAsia="Calibri" w:hAnsi="Calibri"/>
                          <w:color w:val="000000" w:themeColor="text1"/>
                          <w:kern w:val="24"/>
                          <w:sz w:val="22"/>
                          <w:szCs w:val="22"/>
                        </w:rPr>
                        <w:t> </w:t>
                      </w:r>
                    </w:p>
                    <w:p w14:paraId="76E30D63" w14:textId="77777777" w:rsidR="00AE0ADA" w:rsidRDefault="00AE0ADA" w:rsidP="00AE0ADA">
                      <w:pPr>
                        <w:pStyle w:val="NormalWeb"/>
                        <w:spacing w:before="0" w:beforeAutospacing="0" w:after="160" w:afterAutospacing="0" w:line="256" w:lineRule="auto"/>
                      </w:pPr>
                      <w:r>
                        <w:rPr>
                          <w:rFonts w:ascii="Calibri" w:eastAsia="Calibri" w:hAnsi="Calibri"/>
                          <w:color w:val="000000" w:themeColor="text1"/>
                          <w:kern w:val="24"/>
                          <w:sz w:val="22"/>
                          <w:szCs w:val="22"/>
                        </w:rPr>
                        <w:t>c</w:t>
                      </w:r>
                    </w:p>
                  </w:txbxContent>
                </v:textbox>
              </v:shape>
            </w:pict>
          </mc:Fallback>
        </mc:AlternateContent>
      </w:r>
    </w:p>
    <w:p w14:paraId="1DC8637A" w14:textId="77777777" w:rsidR="00AE0ADA" w:rsidRDefault="00AE0ADA" w:rsidP="00AE0ADA">
      <w:r w:rsidRPr="003B51F5">
        <w:rPr>
          <w:noProof/>
        </w:rPr>
        <w:drawing>
          <wp:anchor distT="0" distB="0" distL="114300" distR="114300" simplePos="0" relativeHeight="251660288" behindDoc="0" locked="0" layoutInCell="1" allowOverlap="1" wp14:anchorId="5A06CAFE" wp14:editId="51A64631">
            <wp:simplePos x="0" y="0"/>
            <wp:positionH relativeFrom="column">
              <wp:posOffset>754439</wp:posOffset>
            </wp:positionH>
            <wp:positionV relativeFrom="paragraph">
              <wp:posOffset>215826</wp:posOffset>
            </wp:positionV>
            <wp:extent cx="1490345" cy="731520"/>
            <wp:effectExtent l="0" t="0" r="0" b="5080"/>
            <wp:wrapThrough wrapText="bothSides">
              <wp:wrapPolygon edited="0">
                <wp:start x="0" y="0"/>
                <wp:lineTo x="0" y="21375"/>
                <wp:lineTo x="21352" y="21375"/>
                <wp:lineTo x="21352" y="0"/>
                <wp:lineTo x="0" y="0"/>
              </wp:wrapPolygon>
            </wp:wrapThrough>
            <wp:docPr id="16" name="Picture 15" descr="AGD PACE logo BW">
              <a:hlinkClick xmlns:a="http://schemas.openxmlformats.org/drawingml/2006/main" r:id="rId5"/>
              <a:extLst xmlns:a="http://schemas.openxmlformats.org/drawingml/2006/main">
                <a:ext uri="{FF2B5EF4-FFF2-40B4-BE49-F238E27FC236}">
                  <a16:creationId xmlns:a16="http://schemas.microsoft.com/office/drawing/2014/main" id="{D5A2A1BA-BB42-0A4E-BC0D-32BA04BA2397}"/>
                </a:ext>
              </a:extLst>
            </wp:docPr>
            <wp:cNvGraphicFramePr/>
            <a:graphic xmlns:a="http://schemas.openxmlformats.org/drawingml/2006/main">
              <a:graphicData uri="http://schemas.openxmlformats.org/drawingml/2006/picture">
                <pic:pic xmlns:pic="http://schemas.openxmlformats.org/drawingml/2006/picture">
                  <pic:nvPicPr>
                    <pic:cNvPr id="16" name="Picture 15" descr="AGD PACE logo BW">
                      <a:hlinkClick r:id="rId5"/>
                      <a:extLst>
                        <a:ext uri="{FF2B5EF4-FFF2-40B4-BE49-F238E27FC236}">
                          <a16:creationId xmlns:a16="http://schemas.microsoft.com/office/drawing/2014/main" id="{D5A2A1BA-BB42-0A4E-BC0D-32BA04BA2397}"/>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3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1F5">
        <w:rPr>
          <w:noProof/>
        </w:rPr>
        <w:t xml:space="preserve"> </w:t>
      </w:r>
    </w:p>
    <w:p w14:paraId="115DBFA1" w14:textId="77777777" w:rsidR="00AC3705" w:rsidRDefault="00AE0ADA"/>
    <w:sectPr w:rsidR="00AC3705" w:rsidSect="00647884">
      <w:head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B06C" w14:textId="77777777" w:rsidR="003B417C" w:rsidRDefault="00AE0ADA" w:rsidP="00647884">
    <w:pPr>
      <w:pStyle w:val="Header"/>
      <w:jc w:val="center"/>
    </w:pPr>
    <w:r>
      <w:rPr>
        <w:noProof/>
      </w:rPr>
      <w:drawing>
        <wp:inline distT="0" distB="0" distL="0" distR="0" wp14:anchorId="6D3DA04C" wp14:editId="703B66F6">
          <wp:extent cx="2648607" cy="635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D-Nevada-Logo-COLOR.gif"/>
                  <pic:cNvPicPr/>
                </pic:nvPicPr>
                <pic:blipFill>
                  <a:blip r:embed="rId1">
                    <a:extLst>
                      <a:ext uri="{28A0092B-C50C-407E-A947-70E740481C1C}">
                        <a14:useLocalDpi xmlns:a14="http://schemas.microsoft.com/office/drawing/2010/main" val="0"/>
                      </a:ext>
                    </a:extLst>
                  </a:blip>
                  <a:stretch>
                    <a:fillRect/>
                  </a:stretch>
                </pic:blipFill>
                <pic:spPr>
                  <a:xfrm>
                    <a:off x="0" y="0"/>
                    <a:ext cx="2720623" cy="652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DA"/>
    <w:rsid w:val="00147969"/>
    <w:rsid w:val="003F192B"/>
    <w:rsid w:val="009D7966"/>
    <w:rsid w:val="00A648D2"/>
    <w:rsid w:val="00AE0ADA"/>
    <w:rsid w:val="00F0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4C657"/>
  <w14:defaultImageDpi w14:val="32767"/>
  <w15:chartTrackingRefBased/>
  <w15:docId w15:val="{EF691B66-D758-614A-83BE-795C4F13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ADA"/>
    <w:rPr>
      <w:color w:val="0563C1" w:themeColor="hyperlink"/>
      <w:u w:val="single"/>
    </w:rPr>
  </w:style>
  <w:style w:type="paragraph" w:styleId="Header">
    <w:name w:val="header"/>
    <w:basedOn w:val="Normal"/>
    <w:link w:val="HeaderChar"/>
    <w:uiPriority w:val="99"/>
    <w:unhideWhenUsed/>
    <w:rsid w:val="00AE0ADA"/>
    <w:pPr>
      <w:tabs>
        <w:tab w:val="center" w:pos="4680"/>
        <w:tab w:val="right" w:pos="9360"/>
      </w:tabs>
    </w:pPr>
  </w:style>
  <w:style w:type="character" w:customStyle="1" w:styleId="HeaderChar">
    <w:name w:val="Header Char"/>
    <w:basedOn w:val="DefaultParagraphFont"/>
    <w:link w:val="Header"/>
    <w:uiPriority w:val="99"/>
    <w:rsid w:val="00AE0ADA"/>
  </w:style>
  <w:style w:type="paragraph" w:styleId="NormalWeb">
    <w:name w:val="Normal (Web)"/>
    <w:basedOn w:val="Normal"/>
    <w:uiPriority w:val="99"/>
    <w:unhideWhenUsed/>
    <w:rsid w:val="00AE0AD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E0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1243">
      <w:bodyDiv w:val="1"/>
      <w:marLeft w:val="0"/>
      <w:marRight w:val="0"/>
      <w:marTop w:val="0"/>
      <w:marBottom w:val="0"/>
      <w:divBdr>
        <w:top w:val="none" w:sz="0" w:space="0" w:color="auto"/>
        <w:left w:val="none" w:sz="0" w:space="0" w:color="auto"/>
        <w:bottom w:val="none" w:sz="0" w:space="0" w:color="auto"/>
        <w:right w:val="none" w:sz="0" w:space="0" w:color="auto"/>
      </w:divBdr>
    </w:div>
    <w:div w:id="1269461274">
      <w:bodyDiv w:val="1"/>
      <w:marLeft w:val="0"/>
      <w:marRight w:val="0"/>
      <w:marTop w:val="0"/>
      <w:marBottom w:val="0"/>
      <w:divBdr>
        <w:top w:val="none" w:sz="0" w:space="0" w:color="auto"/>
        <w:left w:val="none" w:sz="0" w:space="0" w:color="auto"/>
        <w:bottom w:val="none" w:sz="0" w:space="0" w:color="auto"/>
        <w:right w:val="none" w:sz="0" w:space="0" w:color="auto"/>
      </w:divBdr>
    </w:div>
    <w:div w:id="1982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gd.org/images/logo/PACE/PACElogohires.tif" TargetMode="External"/><Relationship Id="rId4" Type="http://schemas.openxmlformats.org/officeDocument/2006/relationships/hyperlink" Target="https://agdnevada.ticketspice.com/surviving-a-board-complaint"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Ishkanian</dc:creator>
  <cp:keywords/>
  <dc:description/>
  <cp:lastModifiedBy>Emily Ishkanian</cp:lastModifiedBy>
  <cp:revision>1</cp:revision>
  <dcterms:created xsi:type="dcterms:W3CDTF">2024-09-04T05:05:00Z</dcterms:created>
  <dcterms:modified xsi:type="dcterms:W3CDTF">2024-09-04T05:08:00Z</dcterms:modified>
</cp:coreProperties>
</file>